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AD990" w14:textId="7008F045" w:rsidR="00BF213A" w:rsidRPr="008F2C58" w:rsidRDefault="00443A88" w:rsidP="00BF213A">
      <w:pPr>
        <w:jc w:val="center"/>
        <w:rPr>
          <w:rFonts w:ascii="Myriad Pro" w:hAnsi="Myriad Pro" w:cs="Arial"/>
          <w:b/>
        </w:rPr>
      </w:pPr>
      <w:r w:rsidRPr="008F2C58">
        <w:rPr>
          <w:rFonts w:ascii="Myriad Pro" w:hAnsi="Myriad Pro" w:cs="Arial"/>
          <w:b/>
        </w:rPr>
        <w:t>Bando Municipal Toluca 2019: incluyente, contemporáneo y de vanguardia</w:t>
      </w:r>
    </w:p>
    <w:p w14:paraId="4976E91A" w14:textId="77777777" w:rsidR="00BF213A" w:rsidRPr="008F2C58" w:rsidRDefault="00BF213A" w:rsidP="00BF213A">
      <w:pPr>
        <w:jc w:val="center"/>
        <w:rPr>
          <w:rFonts w:ascii="Myriad Pro" w:hAnsi="Myriad Pro" w:cs="Arial"/>
          <w:b/>
        </w:rPr>
      </w:pPr>
    </w:p>
    <w:p w14:paraId="559C9E48" w14:textId="77777777" w:rsidR="009B6F9A" w:rsidRPr="008F2C58" w:rsidRDefault="00443A88" w:rsidP="009B6F9A">
      <w:pPr>
        <w:pStyle w:val="Prrafodelista"/>
        <w:numPr>
          <w:ilvl w:val="0"/>
          <w:numId w:val="2"/>
        </w:numPr>
        <w:ind w:left="284" w:right="-234" w:hanging="284"/>
        <w:jc w:val="both"/>
        <w:rPr>
          <w:rFonts w:ascii="Myriad Pro" w:hAnsi="Myriad Pro" w:cs="Arial"/>
          <w:i/>
        </w:rPr>
      </w:pPr>
      <w:r w:rsidRPr="008F2C58">
        <w:rPr>
          <w:rFonts w:ascii="Myriad Pro" w:hAnsi="Myriad Pro" w:cs="Arial"/>
          <w:i/>
        </w:rPr>
        <w:t>Por primera vez incluye las obligaciones del gobierno municipal en materia de Derechos Humanos</w:t>
      </w:r>
    </w:p>
    <w:p w14:paraId="2EC3D01F" w14:textId="7471086B" w:rsidR="002B66E1" w:rsidRPr="008F2C58" w:rsidRDefault="002B66E1" w:rsidP="009B6F9A">
      <w:pPr>
        <w:pStyle w:val="Prrafodelista"/>
        <w:numPr>
          <w:ilvl w:val="0"/>
          <w:numId w:val="2"/>
        </w:numPr>
        <w:ind w:left="284" w:right="-234" w:hanging="284"/>
        <w:jc w:val="both"/>
        <w:rPr>
          <w:rFonts w:ascii="Myriad Pro" w:hAnsi="Myriad Pro" w:cs="Arial"/>
          <w:i/>
        </w:rPr>
      </w:pPr>
      <w:r w:rsidRPr="008F2C58">
        <w:rPr>
          <w:rFonts w:ascii="Myriad Pro" w:hAnsi="Myriad Pro" w:cs="Arial"/>
          <w:i/>
        </w:rPr>
        <w:t xml:space="preserve">Se cuida el medio ambiente con la prohibición de bolsas de plástico, </w:t>
      </w:r>
      <w:r w:rsidR="00E96D1E" w:rsidRPr="008F2C58">
        <w:rPr>
          <w:rFonts w:ascii="Myriad Pro" w:hAnsi="Myriad Pro" w:cs="Arial"/>
          <w:i/>
        </w:rPr>
        <w:t xml:space="preserve">recipientes de unicel </w:t>
      </w:r>
      <w:r w:rsidRPr="008F2C58">
        <w:rPr>
          <w:rFonts w:ascii="Myriad Pro" w:hAnsi="Myriad Pro" w:cs="Arial"/>
          <w:i/>
        </w:rPr>
        <w:t>y popotes gratuitos</w:t>
      </w:r>
    </w:p>
    <w:p w14:paraId="264A27AD" w14:textId="18266229" w:rsidR="00443A88" w:rsidRPr="008F2C58" w:rsidRDefault="00BF213A" w:rsidP="00443A88">
      <w:pPr>
        <w:spacing w:line="360" w:lineRule="auto"/>
        <w:jc w:val="both"/>
        <w:rPr>
          <w:rFonts w:ascii="Myriad Pro" w:hAnsi="Myriad Pro" w:cs="Arial"/>
        </w:rPr>
      </w:pPr>
      <w:bookmarkStart w:id="0" w:name="_GoBack"/>
      <w:r w:rsidRPr="008F2C58">
        <w:rPr>
          <w:rFonts w:ascii="Myriad Pro" w:hAnsi="Myriad Pro" w:cs="Arial"/>
          <w:b/>
        </w:rPr>
        <w:t>Toluca, Estado de México, miércoles 30 de enero de 2019.-</w:t>
      </w:r>
      <w:r w:rsidRPr="008F2C58">
        <w:rPr>
          <w:rFonts w:ascii="Myriad Pro" w:hAnsi="Myriad Pro" w:cs="Arial"/>
        </w:rPr>
        <w:t xml:space="preserve"> </w:t>
      </w:r>
      <w:r w:rsidR="00443A88" w:rsidRPr="008F2C58">
        <w:rPr>
          <w:rFonts w:ascii="Myriad Pro" w:hAnsi="Myriad Pro" w:cs="Arial"/>
        </w:rPr>
        <w:t>“El Bando Municipal Toluca 2019 se presenta como un documento incluyente, contemporáneo</w:t>
      </w:r>
      <w:r w:rsidR="00E96D1E" w:rsidRPr="008F2C58">
        <w:rPr>
          <w:rFonts w:ascii="Myriad Pro" w:hAnsi="Myriad Pro" w:cs="Arial"/>
        </w:rPr>
        <w:t xml:space="preserve"> y de vanguardia”, asegur</w:t>
      </w:r>
      <w:r w:rsidR="00443A88" w:rsidRPr="008F2C58">
        <w:rPr>
          <w:rFonts w:ascii="Myriad Pro" w:hAnsi="Myriad Pro" w:cs="Arial"/>
        </w:rPr>
        <w:t>ó el alcalde Juan Rodolfo Sánchez Gómez d</w:t>
      </w:r>
      <w:r w:rsidR="00BA15BC" w:rsidRPr="008F2C58">
        <w:rPr>
          <w:rFonts w:ascii="Myriad Pro" w:hAnsi="Myriad Pro" w:cs="Arial"/>
        </w:rPr>
        <w:t>urante la c</w:t>
      </w:r>
      <w:r w:rsidR="00443A88" w:rsidRPr="008F2C58">
        <w:rPr>
          <w:rFonts w:ascii="Myriad Pro" w:hAnsi="Myriad Pro" w:cs="Arial"/>
        </w:rPr>
        <w:t>ua</w:t>
      </w:r>
      <w:r w:rsidR="00BA15BC" w:rsidRPr="008F2C58">
        <w:rPr>
          <w:rFonts w:ascii="Myriad Pro" w:hAnsi="Myriad Pro" w:cs="Arial"/>
        </w:rPr>
        <w:t>rta sesión o</w:t>
      </w:r>
      <w:r w:rsidR="00443A88" w:rsidRPr="008F2C58">
        <w:rPr>
          <w:rFonts w:ascii="Myriad Pro" w:hAnsi="Myriad Pro" w:cs="Arial"/>
        </w:rPr>
        <w:t xml:space="preserve">rdinaria de Cabildo. </w:t>
      </w:r>
    </w:p>
    <w:bookmarkEnd w:id="0"/>
    <w:p w14:paraId="1DBBAF6D" w14:textId="5C977E24" w:rsidR="00443A88" w:rsidRPr="008F2C58" w:rsidRDefault="00443A88" w:rsidP="00443A88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</w:rPr>
        <w:t xml:space="preserve">El cuerpo edilicio aprobó el punto de acuerdo presentado por el </w:t>
      </w:r>
      <w:r w:rsidR="00BA15BC" w:rsidRPr="008F2C58">
        <w:rPr>
          <w:rFonts w:ascii="Myriad Pro" w:hAnsi="Myriad Pro" w:cs="Arial"/>
        </w:rPr>
        <w:t>primer edil</w:t>
      </w:r>
      <w:r w:rsidRPr="008F2C58">
        <w:rPr>
          <w:rFonts w:ascii="Myriad Pro" w:hAnsi="Myriad Pro" w:cs="Arial"/>
        </w:rPr>
        <w:t xml:space="preserve"> referente a la propuesta del Bando Municipal</w:t>
      </w:r>
      <w:r w:rsidR="0045561F" w:rsidRPr="008F2C58">
        <w:rPr>
          <w:rFonts w:ascii="Myriad Pro" w:hAnsi="Myriad Pro" w:cs="Arial"/>
        </w:rPr>
        <w:t>,</w:t>
      </w:r>
      <w:r w:rsidRPr="008F2C58">
        <w:rPr>
          <w:rFonts w:ascii="Myriad Pro" w:hAnsi="Myriad Pro" w:cs="Arial"/>
        </w:rPr>
        <w:t xml:space="preserve"> que por primera vez incluye las obligaciones</w:t>
      </w:r>
      <w:r w:rsidR="00545F29" w:rsidRPr="008F2C58">
        <w:rPr>
          <w:rFonts w:ascii="Myriad Pro" w:hAnsi="Myriad Pro" w:cs="Arial"/>
        </w:rPr>
        <w:t xml:space="preserve"> del gobierno local</w:t>
      </w:r>
      <w:r w:rsidRPr="008F2C58">
        <w:rPr>
          <w:rFonts w:ascii="Myriad Pro" w:hAnsi="Myriad Pro" w:cs="Arial"/>
        </w:rPr>
        <w:t xml:space="preserve"> en materia de Derechos Humanos, además de temas de importancia a nivel federal, estatal y municipal. </w:t>
      </w:r>
    </w:p>
    <w:p w14:paraId="65F5EF18" w14:textId="091B9477" w:rsidR="00443A88" w:rsidRPr="008F2C58" w:rsidRDefault="00443A88" w:rsidP="00443A88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</w:rPr>
        <w:t xml:space="preserve">En concordancia con el principio de austeridad </w:t>
      </w:r>
      <w:r w:rsidR="00BA15BC" w:rsidRPr="008F2C58">
        <w:rPr>
          <w:rFonts w:ascii="Myriad Pro" w:hAnsi="Myriad Pro" w:cs="Arial"/>
        </w:rPr>
        <w:t>proclamado por</w:t>
      </w:r>
      <w:r w:rsidRPr="008F2C58">
        <w:rPr>
          <w:rFonts w:ascii="Myriad Pro" w:hAnsi="Myriad Pro" w:cs="Arial"/>
        </w:rPr>
        <w:t xml:space="preserve"> el gobierno de la República, se adecuó y reglamentó una reingeniería organizacional administrativa, </w:t>
      </w:r>
      <w:r w:rsidR="00335AE3" w:rsidRPr="008F2C58">
        <w:rPr>
          <w:rFonts w:ascii="Myriad Pro" w:hAnsi="Myriad Pro" w:cs="Arial"/>
        </w:rPr>
        <w:t xml:space="preserve">que </w:t>
      </w:r>
      <w:r w:rsidRPr="008F2C58">
        <w:rPr>
          <w:rFonts w:ascii="Myriad Pro" w:hAnsi="Myriad Pro" w:cs="Arial"/>
        </w:rPr>
        <w:t>dis</w:t>
      </w:r>
      <w:r w:rsidR="00335AE3" w:rsidRPr="008F2C58">
        <w:rPr>
          <w:rFonts w:ascii="Myriad Pro" w:hAnsi="Myriad Pro" w:cs="Arial"/>
        </w:rPr>
        <w:t>minuyó</w:t>
      </w:r>
      <w:r w:rsidR="009B7921" w:rsidRPr="008F2C58">
        <w:rPr>
          <w:rFonts w:ascii="Myriad Pro" w:hAnsi="Myriad Pro" w:cs="Arial"/>
        </w:rPr>
        <w:t xml:space="preserve"> </w:t>
      </w:r>
      <w:r w:rsidR="00335AE3" w:rsidRPr="008F2C58">
        <w:rPr>
          <w:rFonts w:ascii="Myriad Pro" w:hAnsi="Myriad Pro" w:cs="Arial"/>
        </w:rPr>
        <w:t xml:space="preserve"> el </w:t>
      </w:r>
      <w:r w:rsidRPr="008F2C58">
        <w:rPr>
          <w:rFonts w:ascii="Myriad Pro" w:hAnsi="Myriad Pro" w:cs="Arial"/>
        </w:rPr>
        <w:t xml:space="preserve">número de dependencias municipales con </w:t>
      </w:r>
      <w:r w:rsidR="00524510" w:rsidRPr="008F2C58">
        <w:rPr>
          <w:rFonts w:ascii="Myriad Pro" w:hAnsi="Myriad Pro" w:cs="Arial"/>
        </w:rPr>
        <w:t>el fin</w:t>
      </w:r>
      <w:r w:rsidRPr="008F2C58">
        <w:rPr>
          <w:rFonts w:ascii="Myriad Pro" w:hAnsi="Myriad Pro" w:cs="Arial"/>
        </w:rPr>
        <w:t xml:space="preserve"> de incrementar la calidad de los servicios</w:t>
      </w:r>
      <w:r w:rsidR="00524510" w:rsidRPr="008F2C58">
        <w:rPr>
          <w:rFonts w:ascii="Myriad Pro" w:hAnsi="Myriad Pro" w:cs="Arial"/>
        </w:rPr>
        <w:t>,</w:t>
      </w:r>
      <w:r w:rsidRPr="008F2C58">
        <w:rPr>
          <w:rFonts w:ascii="Myriad Pro" w:hAnsi="Myriad Pro" w:cs="Arial"/>
        </w:rPr>
        <w:t xml:space="preserve"> haciendo más con menos.</w:t>
      </w:r>
    </w:p>
    <w:p w14:paraId="26E256DE" w14:textId="4BE35836" w:rsidR="00443A88" w:rsidRPr="008F2C58" w:rsidRDefault="00443A88" w:rsidP="00443A88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</w:rPr>
        <w:t xml:space="preserve"> Sánchez Gómez detalló que se incluyó un capítulo que da vida jurídica al ejercicio pleno de los Derechos Humanos en </w:t>
      </w:r>
      <w:r w:rsidR="00524510" w:rsidRPr="008F2C58">
        <w:rPr>
          <w:rFonts w:ascii="Myriad Pro" w:hAnsi="Myriad Pro" w:cs="Arial"/>
        </w:rPr>
        <w:t>el municipio</w:t>
      </w:r>
      <w:r w:rsidRPr="008F2C58">
        <w:rPr>
          <w:rFonts w:ascii="Myriad Pro" w:hAnsi="Myriad Pro" w:cs="Arial"/>
        </w:rPr>
        <w:t>, así como la función social del suelo</w:t>
      </w:r>
      <w:r w:rsidR="0045561F" w:rsidRPr="008F2C58">
        <w:rPr>
          <w:rFonts w:ascii="Myriad Pro" w:hAnsi="Myriad Pro" w:cs="Arial"/>
        </w:rPr>
        <w:t xml:space="preserve">, la propiedad, </w:t>
      </w:r>
      <w:r w:rsidRPr="008F2C58">
        <w:rPr>
          <w:rFonts w:ascii="Myriad Pro" w:hAnsi="Myriad Pro" w:cs="Arial"/>
        </w:rPr>
        <w:t>el</w:t>
      </w:r>
      <w:r w:rsidR="006C3A10" w:rsidRPr="008F2C58">
        <w:rPr>
          <w:rFonts w:ascii="Myriad Pro" w:hAnsi="Myriad Pro" w:cs="Arial"/>
        </w:rPr>
        <w:t xml:space="preserve"> </w:t>
      </w:r>
      <w:r w:rsidR="00914C90" w:rsidRPr="008F2C58">
        <w:rPr>
          <w:rFonts w:ascii="Myriad Pro" w:hAnsi="Myriad Pro" w:cs="Arial"/>
        </w:rPr>
        <w:t xml:space="preserve">goce y disfrute del territorio, </w:t>
      </w:r>
      <w:r w:rsidRPr="008F2C58">
        <w:rPr>
          <w:rFonts w:ascii="Myriad Pro" w:hAnsi="Myriad Pro" w:cs="Arial"/>
        </w:rPr>
        <w:t xml:space="preserve"> los espacios públicos, los bienes y servicios entre vecinos y visitantes</w:t>
      </w:r>
      <w:r w:rsidR="00BA15BC" w:rsidRPr="008F2C58">
        <w:rPr>
          <w:rFonts w:ascii="Myriad Pro" w:hAnsi="Myriad Pro" w:cs="Arial"/>
        </w:rPr>
        <w:t>,</w:t>
      </w:r>
      <w:r w:rsidRPr="008F2C58">
        <w:rPr>
          <w:rFonts w:ascii="Myriad Pro" w:hAnsi="Myriad Pro" w:cs="Arial"/>
        </w:rPr>
        <w:t xml:space="preserve"> denominado “Derecho a la ciudad”. </w:t>
      </w:r>
    </w:p>
    <w:p w14:paraId="542B52BF" w14:textId="13E93C94" w:rsidR="00443A88" w:rsidRPr="008F2C58" w:rsidRDefault="00443A88" w:rsidP="00443A88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</w:rPr>
        <w:t>En materia de protección al medio ambiente</w:t>
      </w:r>
      <w:r w:rsidR="00BA15BC" w:rsidRPr="008F2C58">
        <w:rPr>
          <w:rFonts w:ascii="Myriad Pro" w:hAnsi="Myriad Pro" w:cs="Arial"/>
        </w:rPr>
        <w:t>,</w:t>
      </w:r>
      <w:r w:rsidR="00524510" w:rsidRPr="008F2C58">
        <w:rPr>
          <w:rFonts w:ascii="Myriad Pro" w:hAnsi="Myriad Pro" w:cs="Arial"/>
        </w:rPr>
        <w:t xml:space="preserve"> se estableció</w:t>
      </w:r>
      <w:r w:rsidRPr="008F2C58">
        <w:rPr>
          <w:rFonts w:ascii="Myriad Pro" w:hAnsi="Myriad Pro" w:cs="Arial"/>
        </w:rPr>
        <w:t xml:space="preserve"> la prohibición del otorgamiento a título gratuito de bols</w:t>
      </w:r>
      <w:r w:rsidR="00BA15BC" w:rsidRPr="008F2C58">
        <w:rPr>
          <w:rFonts w:ascii="Myriad Pro" w:hAnsi="Myriad Pro" w:cs="Arial"/>
        </w:rPr>
        <w:t>as de plástico de un so</w:t>
      </w:r>
      <w:r w:rsidRPr="008F2C58">
        <w:rPr>
          <w:rFonts w:ascii="Myriad Pro" w:hAnsi="Myriad Pro" w:cs="Arial"/>
        </w:rPr>
        <w:t>lo uso, recipientes de unicel y popotes por p</w:t>
      </w:r>
      <w:r w:rsidR="00BA15BC" w:rsidRPr="008F2C58">
        <w:rPr>
          <w:rFonts w:ascii="Myriad Pro" w:hAnsi="Myriad Pro" w:cs="Arial"/>
        </w:rPr>
        <w:t>arte de las unidades económicas</w:t>
      </w:r>
      <w:r w:rsidRPr="008F2C58">
        <w:rPr>
          <w:rFonts w:ascii="Myriad Pro" w:hAnsi="Myriad Pro" w:cs="Arial"/>
        </w:rPr>
        <w:t xml:space="preserve"> de todos los giros.</w:t>
      </w:r>
    </w:p>
    <w:p w14:paraId="1D1249E6" w14:textId="377DAB29" w:rsidR="00443A88" w:rsidRPr="008F2C58" w:rsidRDefault="00443A88" w:rsidP="00443A88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</w:rPr>
        <w:t>Est</w:t>
      </w:r>
      <w:r w:rsidR="00BA15BC" w:rsidRPr="008F2C58">
        <w:rPr>
          <w:rFonts w:ascii="Myriad Pro" w:hAnsi="Myriad Pro" w:cs="Arial"/>
        </w:rPr>
        <w:t xml:space="preserve">a medida tiene </w:t>
      </w:r>
      <w:r w:rsidRPr="008F2C58">
        <w:rPr>
          <w:rFonts w:ascii="Myriad Pro" w:hAnsi="Myriad Pro" w:cs="Arial"/>
        </w:rPr>
        <w:t xml:space="preserve">la finalidad de crear una cultura de respeto al medio ambiente e </w:t>
      </w:r>
      <w:r w:rsidR="00524510" w:rsidRPr="008F2C58">
        <w:rPr>
          <w:rFonts w:ascii="Myriad Pro" w:hAnsi="Myriad Pro" w:cs="Arial"/>
        </w:rPr>
        <w:t>inhibir</w:t>
      </w:r>
      <w:r w:rsidRPr="008F2C58">
        <w:rPr>
          <w:rFonts w:ascii="Myriad Pro" w:hAnsi="Myriad Pro" w:cs="Arial"/>
        </w:rPr>
        <w:t xml:space="preserve"> el uso de este tipo de materiales</w:t>
      </w:r>
      <w:r w:rsidR="00524510" w:rsidRPr="008F2C58">
        <w:rPr>
          <w:rFonts w:ascii="Myriad Pro" w:hAnsi="Myriad Pro" w:cs="Arial"/>
        </w:rPr>
        <w:t>,</w:t>
      </w:r>
      <w:r w:rsidRPr="008F2C58">
        <w:rPr>
          <w:rFonts w:ascii="Myriad Pro" w:hAnsi="Myriad Pro" w:cs="Arial"/>
        </w:rPr>
        <w:t xml:space="preserve"> con acciones concretas como la verificación administrativa en la materia. </w:t>
      </w:r>
    </w:p>
    <w:p w14:paraId="27EE94D4" w14:textId="6B1C06E1" w:rsidR="00524510" w:rsidRPr="008F2C58" w:rsidRDefault="00443A88" w:rsidP="00443A88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</w:rPr>
        <w:t>Con la finalidad de aprovechar el uso de las Tecnologías de la Información y de Comunicaciones, se creó el capítulo quinto de Gobierno Digital</w:t>
      </w:r>
      <w:r w:rsidR="00BA15BC" w:rsidRPr="008F2C58">
        <w:rPr>
          <w:rFonts w:ascii="Myriad Pro" w:hAnsi="Myriad Pro" w:cs="Arial"/>
        </w:rPr>
        <w:t>,</w:t>
      </w:r>
      <w:r w:rsidRPr="008F2C58">
        <w:rPr>
          <w:rFonts w:ascii="Myriad Pro" w:hAnsi="Myriad Pro" w:cs="Arial"/>
        </w:rPr>
        <w:t xml:space="preserve"> con el objeto de agilizar </w:t>
      </w:r>
      <w:r w:rsidRPr="008F2C58">
        <w:rPr>
          <w:rFonts w:ascii="Myriad Pro" w:hAnsi="Myriad Pro" w:cs="Arial"/>
        </w:rPr>
        <w:lastRenderedPageBreak/>
        <w:t>trámites, coadyuvar a transparentar la función pública</w:t>
      </w:r>
      <w:r w:rsidR="00524510" w:rsidRPr="008F2C58">
        <w:rPr>
          <w:rFonts w:ascii="Myriad Pro" w:hAnsi="Myriad Pro" w:cs="Arial"/>
        </w:rPr>
        <w:t xml:space="preserve"> y</w:t>
      </w:r>
      <w:r w:rsidRPr="008F2C58">
        <w:rPr>
          <w:rFonts w:ascii="Myriad Pro" w:hAnsi="Myriad Pro" w:cs="Arial"/>
        </w:rPr>
        <w:t xml:space="preserve"> elevar la calidad </w:t>
      </w:r>
      <w:r w:rsidR="00524510" w:rsidRPr="008F2C58">
        <w:rPr>
          <w:rFonts w:ascii="Myriad Pro" w:hAnsi="Myriad Pro" w:cs="Arial"/>
        </w:rPr>
        <w:t>de los servicios gubernamentales.</w:t>
      </w:r>
    </w:p>
    <w:p w14:paraId="61A9AE3B" w14:textId="1F4E97DE" w:rsidR="00443A88" w:rsidRPr="008F2C58" w:rsidRDefault="00524510" w:rsidP="00443A88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</w:rPr>
        <w:t xml:space="preserve">Además, se busca </w:t>
      </w:r>
      <w:r w:rsidR="00BA15BC" w:rsidRPr="008F2C58">
        <w:rPr>
          <w:rFonts w:ascii="Myriad Pro" w:hAnsi="Myriad Pro" w:cs="Arial"/>
        </w:rPr>
        <w:t>proporcionar</w:t>
      </w:r>
      <w:r w:rsidR="00443A88" w:rsidRPr="008F2C58">
        <w:rPr>
          <w:rFonts w:ascii="Myriad Pro" w:hAnsi="Myriad Pro" w:cs="Arial"/>
        </w:rPr>
        <w:t xml:space="preserve"> herramientas tecnológicas a los ve</w:t>
      </w:r>
      <w:r w:rsidRPr="008F2C58">
        <w:rPr>
          <w:rFonts w:ascii="Myriad Pro" w:hAnsi="Myriad Pro" w:cs="Arial"/>
        </w:rPr>
        <w:t xml:space="preserve">cinos y visitantes de la ciudad, </w:t>
      </w:r>
      <w:r w:rsidR="00BA15BC" w:rsidRPr="008F2C58">
        <w:rPr>
          <w:rFonts w:ascii="Myriad Pro" w:hAnsi="Myriad Pro" w:cs="Arial"/>
        </w:rPr>
        <w:t>como</w:t>
      </w:r>
      <w:r w:rsidRPr="008F2C58">
        <w:rPr>
          <w:rFonts w:ascii="Myriad Pro" w:hAnsi="Myriad Pro" w:cs="Arial"/>
        </w:rPr>
        <w:t xml:space="preserve"> </w:t>
      </w:r>
      <w:r w:rsidR="00BA15BC" w:rsidRPr="008F2C58">
        <w:rPr>
          <w:rFonts w:ascii="Myriad Pro" w:hAnsi="Myriad Pro" w:cs="Arial"/>
        </w:rPr>
        <w:t>el acceso a</w:t>
      </w:r>
      <w:r w:rsidR="00443A88" w:rsidRPr="008F2C58">
        <w:rPr>
          <w:rFonts w:ascii="Myriad Pro" w:hAnsi="Myriad Pro" w:cs="Arial"/>
        </w:rPr>
        <w:t xml:space="preserve"> internet de manera pública y gratuita. </w:t>
      </w:r>
    </w:p>
    <w:p w14:paraId="7C14610F" w14:textId="2524DF31" w:rsidR="002B66E1" w:rsidRPr="008F2C58" w:rsidRDefault="002B66E1" w:rsidP="00443A88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</w:rPr>
        <w:t xml:space="preserve">Cabe </w:t>
      </w:r>
      <w:r w:rsidR="00443A88" w:rsidRPr="008F2C58">
        <w:rPr>
          <w:rFonts w:ascii="Myriad Pro" w:hAnsi="Myriad Pro" w:cs="Arial"/>
        </w:rPr>
        <w:t>destaca</w:t>
      </w:r>
      <w:r w:rsidRPr="008F2C58">
        <w:rPr>
          <w:rFonts w:ascii="Myriad Pro" w:hAnsi="Myriad Pro" w:cs="Arial"/>
        </w:rPr>
        <w:t>r</w:t>
      </w:r>
      <w:r w:rsidR="00443A88" w:rsidRPr="008F2C58">
        <w:rPr>
          <w:rFonts w:ascii="Myriad Pro" w:hAnsi="Myriad Pro" w:cs="Arial"/>
        </w:rPr>
        <w:t xml:space="preserve"> que la administración 2019-2021</w:t>
      </w:r>
      <w:r w:rsidR="00524510" w:rsidRPr="008F2C58">
        <w:rPr>
          <w:rFonts w:ascii="Myriad Pro" w:hAnsi="Myriad Pro" w:cs="Arial"/>
        </w:rPr>
        <w:t xml:space="preserve"> estableció</w:t>
      </w:r>
      <w:r w:rsidR="00443A88" w:rsidRPr="008F2C58">
        <w:rPr>
          <w:rFonts w:ascii="Myriad Pro" w:hAnsi="Myriad Pro" w:cs="Arial"/>
        </w:rPr>
        <w:t xml:space="preserve"> la clasificación de las infracciones en materia de </w:t>
      </w:r>
      <w:r w:rsidR="00524510" w:rsidRPr="008F2C58">
        <w:rPr>
          <w:rFonts w:ascii="Myriad Pro" w:hAnsi="Myriad Pro" w:cs="Arial"/>
        </w:rPr>
        <w:t>orden</w:t>
      </w:r>
      <w:r w:rsidR="00443A88" w:rsidRPr="008F2C58">
        <w:rPr>
          <w:rFonts w:ascii="Myriad Pro" w:hAnsi="Myriad Pro" w:cs="Arial"/>
        </w:rPr>
        <w:t xml:space="preserve"> público en: graves y no graves, para privilegiar la seguridad y calidad de vida de los toluqueños</w:t>
      </w:r>
      <w:r w:rsidRPr="008F2C58">
        <w:rPr>
          <w:rFonts w:ascii="Myriad Pro" w:hAnsi="Myriad Pro" w:cs="Arial"/>
        </w:rPr>
        <w:t>.</w:t>
      </w:r>
    </w:p>
    <w:p w14:paraId="458DF7AF" w14:textId="12930F7A" w:rsidR="00443A88" w:rsidRPr="008F2C58" w:rsidRDefault="002B66E1" w:rsidP="00443A88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</w:rPr>
        <w:t>De igual forma, con esta acción se</w:t>
      </w:r>
      <w:r w:rsidR="00443A88" w:rsidRPr="008F2C58">
        <w:rPr>
          <w:rFonts w:ascii="Myriad Pro" w:hAnsi="Myriad Pro" w:cs="Arial"/>
        </w:rPr>
        <w:t xml:space="preserve"> busca inhibir conductas nocivas para la sociedad</w:t>
      </w:r>
      <w:r w:rsidR="00BA15BC" w:rsidRPr="008F2C58">
        <w:rPr>
          <w:rFonts w:ascii="Myriad Pro" w:hAnsi="Myriad Pro" w:cs="Arial"/>
        </w:rPr>
        <w:t>,</w:t>
      </w:r>
      <w:r w:rsidR="00443A88" w:rsidRPr="008F2C58">
        <w:rPr>
          <w:rFonts w:ascii="Myriad Pro" w:hAnsi="Myriad Pro" w:cs="Arial"/>
        </w:rPr>
        <w:t xml:space="preserve"> como la venta de alcohol a menores</w:t>
      </w:r>
      <w:r w:rsidR="00261810" w:rsidRPr="008F2C58">
        <w:rPr>
          <w:rFonts w:ascii="Myriad Pro" w:hAnsi="Myriad Pro" w:cs="Arial"/>
        </w:rPr>
        <w:t>,</w:t>
      </w:r>
      <w:r w:rsidR="00443A88" w:rsidRPr="008F2C58">
        <w:rPr>
          <w:rFonts w:ascii="Myriad Pro" w:hAnsi="Myriad Pro" w:cs="Arial"/>
        </w:rPr>
        <w:t xml:space="preserve"> o sin licencia y riñas en eventos públicos, entre otros.  </w:t>
      </w:r>
    </w:p>
    <w:p w14:paraId="5ED35254" w14:textId="2BA6E489" w:rsidR="00274E86" w:rsidRPr="008F2C58" w:rsidRDefault="00274E86" w:rsidP="002B66E1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8F2C58">
        <w:rPr>
          <w:rFonts w:ascii="Myriad Pro" w:hAnsi="Myriad Pro" w:cs="Arial"/>
        </w:rPr>
        <w:t xml:space="preserve">El </w:t>
      </w:r>
      <w:r w:rsidR="003D1A75" w:rsidRPr="008F2C58">
        <w:rPr>
          <w:rFonts w:ascii="Myriad Pro" w:hAnsi="Myriad Pro" w:cs="Arial"/>
        </w:rPr>
        <w:t xml:space="preserve">munícipe </w:t>
      </w:r>
      <w:r w:rsidRPr="008F2C58">
        <w:rPr>
          <w:rFonts w:ascii="Myriad Pro" w:hAnsi="Myriad Pro" w:cs="Arial"/>
        </w:rPr>
        <w:t xml:space="preserve">explicó que se recibieron </w:t>
      </w:r>
      <w:r w:rsidR="006F3889" w:rsidRPr="008F2C58">
        <w:rPr>
          <w:rFonts w:ascii="Myriad Pro" w:hAnsi="Myriad Pro" w:cs="Arial"/>
        </w:rPr>
        <w:t xml:space="preserve">para su análisis y discusión </w:t>
      </w:r>
      <w:r w:rsidRPr="008F2C58">
        <w:rPr>
          <w:rFonts w:ascii="Myriad Pro" w:hAnsi="Myriad Pro" w:cs="Arial"/>
        </w:rPr>
        <w:t xml:space="preserve">25 propuestas </w:t>
      </w:r>
      <w:r w:rsidR="006F3889" w:rsidRPr="008F2C58">
        <w:rPr>
          <w:rFonts w:ascii="Myriad Pro" w:hAnsi="Myriad Pro" w:cs="Arial"/>
        </w:rPr>
        <w:t xml:space="preserve">de integrantes del Cabildo y de </w:t>
      </w:r>
      <w:r w:rsidR="00BA15BC" w:rsidRPr="008F2C58">
        <w:rPr>
          <w:rFonts w:ascii="Myriad Pro" w:hAnsi="Myriad Pro" w:cs="Arial"/>
        </w:rPr>
        <w:t>vari</w:t>
      </w:r>
      <w:r w:rsidR="006F3889" w:rsidRPr="008F2C58">
        <w:rPr>
          <w:rFonts w:ascii="Myriad Pro" w:hAnsi="Myriad Pro" w:cs="Arial"/>
        </w:rPr>
        <w:t>as depend</w:t>
      </w:r>
      <w:r w:rsidR="00BA15BC" w:rsidRPr="008F2C58">
        <w:rPr>
          <w:rFonts w:ascii="Myriad Pro" w:hAnsi="Myriad Pro" w:cs="Arial"/>
        </w:rPr>
        <w:t xml:space="preserve">encias municipales, con lo que </w:t>
      </w:r>
      <w:r w:rsidR="006F3889" w:rsidRPr="008F2C58">
        <w:rPr>
          <w:rFonts w:ascii="Myriad Pro" w:hAnsi="Myriad Pro" w:cs="Arial"/>
        </w:rPr>
        <w:t xml:space="preserve">se modificaron 42 artículos y se crearon dos capítulos </w:t>
      </w:r>
      <w:r w:rsidR="00EE30F5" w:rsidRPr="008F2C58">
        <w:rPr>
          <w:rFonts w:ascii="Myriad Pro" w:hAnsi="Myriad Pro" w:cs="Arial"/>
        </w:rPr>
        <w:t>para la edición</w:t>
      </w:r>
      <w:r w:rsidR="00BA15BC" w:rsidRPr="008F2C58">
        <w:rPr>
          <w:rFonts w:ascii="Myriad Pro" w:hAnsi="Myriad Pro" w:cs="Arial"/>
        </w:rPr>
        <w:t xml:space="preserve"> d</w:t>
      </w:r>
      <w:r w:rsidR="002B66E1" w:rsidRPr="008F2C58">
        <w:rPr>
          <w:rFonts w:ascii="Myriad Pro" w:hAnsi="Myriad Pro" w:cs="Arial"/>
        </w:rPr>
        <w:t>el Bando Municipal Toluca 2019.</w:t>
      </w:r>
    </w:p>
    <w:p w14:paraId="2948DBAD" w14:textId="77777777" w:rsidR="00BF213A" w:rsidRPr="008F2C58" w:rsidRDefault="00BF213A" w:rsidP="00BF213A">
      <w:pPr>
        <w:spacing w:line="360" w:lineRule="auto"/>
        <w:jc w:val="both"/>
        <w:rPr>
          <w:rFonts w:ascii="Myriad Pro" w:hAnsi="Myriad Pro" w:cs="Arial"/>
        </w:rPr>
      </w:pPr>
    </w:p>
    <w:p w14:paraId="6B2047F9" w14:textId="5603E82A" w:rsidR="00BF213A" w:rsidRPr="008F2C58" w:rsidRDefault="00BF213A" w:rsidP="00BF213A">
      <w:pPr>
        <w:jc w:val="both"/>
        <w:rPr>
          <w:rFonts w:ascii="Myriad Pro" w:hAnsi="Myriad Pro"/>
        </w:rPr>
      </w:pPr>
      <w:r w:rsidRPr="008F2C58">
        <w:rPr>
          <w:rFonts w:ascii="Myriad Pro" w:hAnsi="Myriad Pro" w:cs="Arial"/>
          <w:b/>
        </w:rPr>
        <w:t xml:space="preserve">Toluca, Estado de México.- </w:t>
      </w:r>
      <w:r w:rsidR="00261810" w:rsidRPr="008F2C58">
        <w:rPr>
          <w:rFonts w:ascii="Myriad Pro" w:hAnsi="Myriad Pro" w:cs="Arial"/>
        </w:rPr>
        <w:t>“El Bando Municipal Toluca 2019 se presenta como un documento incluyente, contemporáneo y de vanguardia”, expresó el alcalde Juan Rodolfo Sánchez Gómez, d</w:t>
      </w:r>
      <w:r w:rsidR="00BA15BC" w:rsidRPr="008F2C58">
        <w:rPr>
          <w:rFonts w:ascii="Myriad Pro" w:hAnsi="Myriad Pro" w:cs="Arial"/>
        </w:rPr>
        <w:t>urante la c</w:t>
      </w:r>
      <w:r w:rsidR="00261810" w:rsidRPr="008F2C58">
        <w:rPr>
          <w:rFonts w:ascii="Myriad Pro" w:hAnsi="Myriad Pro" w:cs="Arial"/>
        </w:rPr>
        <w:t>ua</w:t>
      </w:r>
      <w:r w:rsidR="00BA15BC" w:rsidRPr="008F2C58">
        <w:rPr>
          <w:rFonts w:ascii="Myriad Pro" w:hAnsi="Myriad Pro" w:cs="Arial"/>
        </w:rPr>
        <w:t>rta sesión o</w:t>
      </w:r>
      <w:r w:rsidR="00261810" w:rsidRPr="008F2C58">
        <w:rPr>
          <w:rFonts w:ascii="Myriad Pro" w:hAnsi="Myriad Pro" w:cs="Arial"/>
        </w:rPr>
        <w:t>rdinaria de Cabildo.</w:t>
      </w:r>
    </w:p>
    <w:p w14:paraId="7AA50322" w14:textId="77777777" w:rsidR="005332FB" w:rsidRPr="008F2C58" w:rsidRDefault="005332FB" w:rsidP="005332FB">
      <w:pPr>
        <w:jc w:val="right"/>
        <w:rPr>
          <w:rFonts w:ascii="Myriad Pro" w:hAnsi="Myriad Pro" w:cs="Arial"/>
          <w:b/>
        </w:rPr>
      </w:pPr>
    </w:p>
    <w:sectPr w:rsidR="005332FB" w:rsidRPr="008F2C58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30A99" w14:textId="77777777" w:rsidR="00AC08BB" w:rsidRDefault="00AC08BB" w:rsidP="008821FA">
      <w:r>
        <w:separator/>
      </w:r>
    </w:p>
  </w:endnote>
  <w:endnote w:type="continuationSeparator" w:id="0">
    <w:p w14:paraId="69CF514D" w14:textId="77777777" w:rsidR="00AC08BB" w:rsidRDefault="00AC08BB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E28E9" w14:textId="77777777" w:rsidR="00AC08BB" w:rsidRDefault="00AC08BB" w:rsidP="008821FA">
      <w:r>
        <w:separator/>
      </w:r>
    </w:p>
  </w:footnote>
  <w:footnote w:type="continuationSeparator" w:id="0">
    <w:p w14:paraId="092976C5" w14:textId="77777777" w:rsidR="00AC08BB" w:rsidRDefault="00AC08BB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75AC99FF" w:rsidR="00910AA1" w:rsidRPr="00182052" w:rsidRDefault="00910AA1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3D686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0089</w:t>
                          </w:r>
                          <w:r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 / </w:t>
                          </w: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2019</w:t>
                          </w: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75AC99FF" w:rsidR="00910AA1" w:rsidRPr="00182052" w:rsidRDefault="00910AA1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3D686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0089</w:t>
                    </w:r>
                    <w:r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 / </w:t>
                    </w: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2019</w:t>
                    </w: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63B42"/>
    <w:rsid w:val="000A5FA9"/>
    <w:rsid w:val="00165AE2"/>
    <w:rsid w:val="00170057"/>
    <w:rsid w:val="00182052"/>
    <w:rsid w:val="00200419"/>
    <w:rsid w:val="00261810"/>
    <w:rsid w:val="0027044E"/>
    <w:rsid w:val="00274E86"/>
    <w:rsid w:val="002758F2"/>
    <w:rsid w:val="002B0FBB"/>
    <w:rsid w:val="002B66E1"/>
    <w:rsid w:val="002E3277"/>
    <w:rsid w:val="00326299"/>
    <w:rsid w:val="00335AE3"/>
    <w:rsid w:val="003D1A75"/>
    <w:rsid w:val="003D686E"/>
    <w:rsid w:val="00443A88"/>
    <w:rsid w:val="0045561F"/>
    <w:rsid w:val="00476F43"/>
    <w:rsid w:val="004E33AD"/>
    <w:rsid w:val="00524510"/>
    <w:rsid w:val="005332FB"/>
    <w:rsid w:val="00545F29"/>
    <w:rsid w:val="00556DEE"/>
    <w:rsid w:val="00582C37"/>
    <w:rsid w:val="005F2FA3"/>
    <w:rsid w:val="005F5C8A"/>
    <w:rsid w:val="0065383B"/>
    <w:rsid w:val="006C3A10"/>
    <w:rsid w:val="006E666F"/>
    <w:rsid w:val="006F3889"/>
    <w:rsid w:val="00763B89"/>
    <w:rsid w:val="00850C80"/>
    <w:rsid w:val="008821FA"/>
    <w:rsid w:val="008F2C58"/>
    <w:rsid w:val="00910AA1"/>
    <w:rsid w:val="00913BE2"/>
    <w:rsid w:val="00914C90"/>
    <w:rsid w:val="00922EC9"/>
    <w:rsid w:val="009B6F9A"/>
    <w:rsid w:val="009B7921"/>
    <w:rsid w:val="009C2E40"/>
    <w:rsid w:val="00AA2886"/>
    <w:rsid w:val="00AB59F8"/>
    <w:rsid w:val="00AC08BB"/>
    <w:rsid w:val="00AD569D"/>
    <w:rsid w:val="00AF6616"/>
    <w:rsid w:val="00B07E71"/>
    <w:rsid w:val="00BA15BC"/>
    <w:rsid w:val="00BC0093"/>
    <w:rsid w:val="00BF213A"/>
    <w:rsid w:val="00C570CE"/>
    <w:rsid w:val="00CD01B4"/>
    <w:rsid w:val="00D962F6"/>
    <w:rsid w:val="00DE40B8"/>
    <w:rsid w:val="00E11411"/>
    <w:rsid w:val="00E32FC8"/>
    <w:rsid w:val="00E639BD"/>
    <w:rsid w:val="00E66D40"/>
    <w:rsid w:val="00E72E7F"/>
    <w:rsid w:val="00E86357"/>
    <w:rsid w:val="00E96D1E"/>
    <w:rsid w:val="00ED4464"/>
    <w:rsid w:val="00EE30F5"/>
    <w:rsid w:val="00F76A4B"/>
    <w:rsid w:val="00F91FC3"/>
    <w:rsid w:val="00FC0C55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24</cp:revision>
  <dcterms:created xsi:type="dcterms:W3CDTF">2019-01-30T21:37:00Z</dcterms:created>
  <dcterms:modified xsi:type="dcterms:W3CDTF">2019-01-30T22:05:00Z</dcterms:modified>
</cp:coreProperties>
</file>