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D990" w14:textId="22CB7F70" w:rsidR="00BF213A" w:rsidRPr="008F2C58" w:rsidRDefault="00557A7A" w:rsidP="00B95B52">
      <w:pPr>
        <w:ind w:left="-284" w:right="-234"/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Más de </w:t>
      </w:r>
      <w:r w:rsidR="008B7007">
        <w:rPr>
          <w:rFonts w:ascii="Myriad Pro" w:hAnsi="Myriad Pro" w:cs="Arial"/>
          <w:b/>
        </w:rPr>
        <w:t>7 mil abuelitos de Toluca recibiero</w:t>
      </w:r>
      <w:r>
        <w:rPr>
          <w:rFonts w:ascii="Myriad Pro" w:hAnsi="Myriad Pro" w:cs="Arial"/>
          <w:b/>
        </w:rPr>
        <w:t>n apoyos económicos</w:t>
      </w:r>
    </w:p>
    <w:p w14:paraId="4976E91A" w14:textId="77777777" w:rsidR="00BF213A" w:rsidRPr="008F2C58" w:rsidRDefault="00BF213A" w:rsidP="00B95B52">
      <w:pPr>
        <w:ind w:left="-284" w:right="-234"/>
        <w:jc w:val="center"/>
        <w:rPr>
          <w:rFonts w:ascii="Myriad Pro" w:hAnsi="Myriad Pro" w:cs="Arial"/>
          <w:b/>
        </w:rPr>
      </w:pPr>
    </w:p>
    <w:p w14:paraId="5CE4ED2C" w14:textId="59C9D83D" w:rsidR="008B7007" w:rsidRPr="008B7007" w:rsidRDefault="008B7007" w:rsidP="008B7007">
      <w:pPr>
        <w:pStyle w:val="Prrafodelista"/>
        <w:numPr>
          <w:ilvl w:val="0"/>
          <w:numId w:val="2"/>
        </w:numPr>
        <w:ind w:left="-284" w:right="-234" w:hanging="284"/>
        <w:jc w:val="both"/>
        <w:rPr>
          <w:rFonts w:ascii="Myriad Pro" w:hAnsi="Myriad Pro" w:cs="Arial"/>
          <w:i/>
        </w:rPr>
      </w:pPr>
      <w:r>
        <w:rPr>
          <w:rFonts w:ascii="Myriad Pro" w:hAnsi="Myriad Pro" w:cs="Arial"/>
          <w:i/>
        </w:rPr>
        <w:t xml:space="preserve">Forman parte </w:t>
      </w:r>
      <w:r w:rsidR="00E15C84">
        <w:rPr>
          <w:rFonts w:ascii="Myriad Pro" w:hAnsi="Myriad Pro" w:cs="Arial"/>
          <w:i/>
        </w:rPr>
        <w:t xml:space="preserve">del programa federal </w:t>
      </w:r>
      <w:r w:rsidRPr="008B7007">
        <w:rPr>
          <w:rFonts w:ascii="Myriad Pro" w:hAnsi="Myriad Pro" w:cs="Arial"/>
          <w:i/>
        </w:rPr>
        <w:t>Pensión para el B</w:t>
      </w:r>
      <w:r w:rsidR="00E15C84">
        <w:rPr>
          <w:rFonts w:ascii="Myriad Pro" w:hAnsi="Myriad Pro" w:cs="Arial"/>
          <w:i/>
        </w:rPr>
        <w:t>ienestar de los Adultos Mayores</w:t>
      </w:r>
      <w:r w:rsidR="0091247F">
        <w:rPr>
          <w:rFonts w:ascii="Myriad Pro" w:hAnsi="Myriad Pro" w:cs="Arial"/>
          <w:i/>
        </w:rPr>
        <w:t>.</w:t>
      </w:r>
    </w:p>
    <w:p w14:paraId="1AD01DE3" w14:textId="0A516DF4" w:rsidR="000B5F85" w:rsidRDefault="00BF213A" w:rsidP="00630E91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  <w:b/>
        </w:rPr>
        <w:t>Toluca, Estado de México,</w:t>
      </w:r>
      <w:r w:rsidR="00E80202">
        <w:rPr>
          <w:rFonts w:ascii="Myriad Pro" w:hAnsi="Myriad Pro" w:cs="Arial"/>
          <w:b/>
        </w:rPr>
        <w:t xml:space="preserve"> </w:t>
      </w:r>
      <w:r w:rsidR="00032848">
        <w:rPr>
          <w:rFonts w:ascii="Myriad Pro" w:hAnsi="Myriad Pro" w:cs="Arial"/>
          <w:b/>
        </w:rPr>
        <w:t>lunes 11</w:t>
      </w:r>
      <w:r w:rsidR="00403CB4">
        <w:rPr>
          <w:rFonts w:ascii="Myriad Pro" w:hAnsi="Myriad Pro" w:cs="Arial"/>
          <w:b/>
        </w:rPr>
        <w:t xml:space="preserve"> de febr</w:t>
      </w:r>
      <w:r w:rsidRPr="008F2C58">
        <w:rPr>
          <w:rFonts w:ascii="Myriad Pro" w:hAnsi="Myriad Pro" w:cs="Arial"/>
          <w:b/>
        </w:rPr>
        <w:t>ero de 2019.-</w:t>
      </w:r>
      <w:r w:rsidRPr="008F2C58">
        <w:rPr>
          <w:rFonts w:ascii="Myriad Pro" w:hAnsi="Myriad Pro" w:cs="Arial"/>
        </w:rPr>
        <w:t xml:space="preserve"> </w:t>
      </w:r>
      <w:r w:rsidR="008B7007">
        <w:rPr>
          <w:rFonts w:ascii="Myriad Pro" w:hAnsi="Myriad Pro" w:cs="Arial"/>
        </w:rPr>
        <w:t>Con gran alegría, 7 mil 568 abuelitos</w:t>
      </w:r>
      <w:r w:rsidR="008B7007" w:rsidRPr="00557A7A">
        <w:rPr>
          <w:rFonts w:ascii="Myriad Pro" w:hAnsi="Myriad Pro" w:cs="Arial"/>
        </w:rPr>
        <w:t xml:space="preserve"> de 89 localidades </w:t>
      </w:r>
      <w:r w:rsidR="008B7007">
        <w:rPr>
          <w:rFonts w:ascii="Myriad Pro" w:hAnsi="Myriad Pro" w:cs="Arial"/>
        </w:rPr>
        <w:t>de Toluca recibieron</w:t>
      </w:r>
      <w:r w:rsidR="008B7007" w:rsidRPr="00557A7A">
        <w:rPr>
          <w:rFonts w:ascii="Myriad Pro" w:hAnsi="Myriad Pro" w:cs="Arial"/>
        </w:rPr>
        <w:t xml:space="preserve"> </w:t>
      </w:r>
      <w:r w:rsidR="008B7007">
        <w:rPr>
          <w:rFonts w:ascii="Myriad Pro" w:hAnsi="Myriad Pro" w:cs="Arial"/>
        </w:rPr>
        <w:t>apoyos</w:t>
      </w:r>
      <w:r w:rsidR="008B7007" w:rsidRPr="00557A7A">
        <w:rPr>
          <w:rFonts w:ascii="Myriad Pro" w:hAnsi="Myriad Pro" w:cs="Arial"/>
        </w:rPr>
        <w:t xml:space="preserve"> </w:t>
      </w:r>
      <w:r w:rsidR="00E15C84">
        <w:rPr>
          <w:rFonts w:ascii="Myriad Pro" w:hAnsi="Myriad Pro" w:cs="Arial"/>
        </w:rPr>
        <w:t xml:space="preserve">del programa federal </w:t>
      </w:r>
      <w:r w:rsidR="008B7007" w:rsidRPr="00FE5FF0">
        <w:rPr>
          <w:rFonts w:ascii="Myriad Pro" w:hAnsi="Myriad Pro" w:cs="Arial"/>
        </w:rPr>
        <w:t>Pensión para el B</w:t>
      </w:r>
      <w:r w:rsidR="00E15C84">
        <w:rPr>
          <w:rFonts w:ascii="Myriad Pro" w:hAnsi="Myriad Pro" w:cs="Arial"/>
        </w:rPr>
        <w:t>ienestar de los Adultos Mayores</w:t>
      </w:r>
      <w:r w:rsidR="008B7007" w:rsidRPr="00FE5FF0">
        <w:rPr>
          <w:rFonts w:ascii="Myriad Pro" w:hAnsi="Myriad Pro" w:cs="Arial"/>
        </w:rPr>
        <w:t>,</w:t>
      </w:r>
      <w:r w:rsidR="008B7007">
        <w:rPr>
          <w:rFonts w:ascii="Myriad Pro" w:hAnsi="Myriad Pro" w:cs="Arial"/>
        </w:rPr>
        <w:t xml:space="preserve"> cuya primera etapa </w:t>
      </w:r>
      <w:r w:rsidR="008B7007" w:rsidRPr="00FE5FF0">
        <w:rPr>
          <w:rFonts w:ascii="Myriad Pro" w:hAnsi="Myriad Pro" w:cs="Arial"/>
        </w:rPr>
        <w:t xml:space="preserve">concluyó </w:t>
      </w:r>
      <w:r w:rsidR="008B7007">
        <w:rPr>
          <w:rFonts w:ascii="Myriad Pro" w:hAnsi="Myriad Pro" w:cs="Arial"/>
        </w:rPr>
        <w:t xml:space="preserve">con éxito </w:t>
      </w:r>
      <w:r w:rsidR="000B5F85">
        <w:rPr>
          <w:rFonts w:ascii="Myriad Pro" w:hAnsi="Myriad Pro" w:cs="Arial"/>
        </w:rPr>
        <w:t>al</w:t>
      </w:r>
      <w:r w:rsidR="008B7007">
        <w:rPr>
          <w:rFonts w:ascii="Myriad Pro" w:hAnsi="Myriad Pro" w:cs="Arial"/>
        </w:rPr>
        <w:t xml:space="preserve"> </w:t>
      </w:r>
      <w:r w:rsidR="00E15C84">
        <w:rPr>
          <w:rFonts w:ascii="Myriad Pro" w:hAnsi="Myriad Pro" w:cs="Arial"/>
        </w:rPr>
        <w:t>cumplir</w:t>
      </w:r>
      <w:r w:rsidR="008B7007">
        <w:rPr>
          <w:rFonts w:ascii="Myriad Pro" w:hAnsi="Myriad Pro" w:cs="Arial"/>
        </w:rPr>
        <w:t xml:space="preserve"> el compromiso con este importante sector de la población. </w:t>
      </w:r>
      <w:r w:rsidR="000B5F85">
        <w:rPr>
          <w:rFonts w:ascii="Myriad Pro" w:hAnsi="Myriad Pro" w:cs="Arial"/>
        </w:rPr>
        <w:tab/>
      </w:r>
    </w:p>
    <w:p w14:paraId="50CAEAA9" w14:textId="7A8657FE" w:rsidR="00557A7A" w:rsidRPr="00557A7A" w:rsidRDefault="00557A7A" w:rsidP="000B5F85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557A7A">
        <w:rPr>
          <w:rFonts w:ascii="Myriad Pro" w:hAnsi="Myriad Pro" w:cs="Arial"/>
        </w:rPr>
        <w:t xml:space="preserve">En colaboración con el </w:t>
      </w:r>
      <w:r w:rsidR="000B5F85" w:rsidRPr="00557A7A">
        <w:rPr>
          <w:rFonts w:ascii="Myriad Pro" w:hAnsi="Myriad Pro" w:cs="Arial"/>
        </w:rPr>
        <w:t>gobierno federal</w:t>
      </w:r>
      <w:r w:rsidR="0060000E">
        <w:rPr>
          <w:rFonts w:ascii="Myriad Pro" w:hAnsi="Myriad Pro" w:cs="Arial"/>
        </w:rPr>
        <w:t>,</w:t>
      </w:r>
      <w:r w:rsidR="00943DE3">
        <w:rPr>
          <w:rFonts w:ascii="Myriad Pro" w:hAnsi="Myriad Pro" w:cs="Arial"/>
        </w:rPr>
        <w:t xml:space="preserve"> </w:t>
      </w:r>
      <w:r w:rsidR="00E15C84">
        <w:rPr>
          <w:rFonts w:ascii="Myriad Pro" w:hAnsi="Myriad Pro" w:cs="Arial"/>
        </w:rPr>
        <w:t>a través de</w:t>
      </w:r>
      <w:r w:rsidRPr="00557A7A">
        <w:rPr>
          <w:rFonts w:ascii="Myriad Pro" w:hAnsi="Myriad Pro" w:cs="Arial"/>
        </w:rPr>
        <w:t xml:space="preserve"> la Delegación de Programas Estatales para el Desarrollo</w:t>
      </w:r>
      <w:r w:rsidR="000B5F85">
        <w:rPr>
          <w:rFonts w:ascii="Myriad Pro" w:hAnsi="Myriad Pro" w:cs="Arial"/>
        </w:rPr>
        <w:t>,</w:t>
      </w:r>
      <w:r w:rsidRPr="00557A7A">
        <w:rPr>
          <w:rFonts w:ascii="Myriad Pro" w:hAnsi="Myriad Pro" w:cs="Arial"/>
        </w:rPr>
        <w:t xml:space="preserve"> </w:t>
      </w:r>
      <w:r w:rsidR="00F65A39">
        <w:rPr>
          <w:rFonts w:ascii="Myriad Pro" w:hAnsi="Myriad Pro" w:cs="Arial"/>
        </w:rPr>
        <w:t xml:space="preserve">el Ayuntamiento de Toluca </w:t>
      </w:r>
      <w:r w:rsidRPr="00557A7A">
        <w:rPr>
          <w:rFonts w:ascii="Myriad Pro" w:hAnsi="Myriad Pro" w:cs="Arial"/>
        </w:rPr>
        <w:t>encabeza</w:t>
      </w:r>
      <w:r w:rsidR="00F65A39">
        <w:rPr>
          <w:rFonts w:ascii="Myriad Pro" w:hAnsi="Myriad Pro" w:cs="Arial"/>
        </w:rPr>
        <w:t>do por</w:t>
      </w:r>
      <w:r w:rsidRPr="00557A7A">
        <w:rPr>
          <w:rFonts w:ascii="Myriad Pro" w:hAnsi="Myriad Pro" w:cs="Arial"/>
        </w:rPr>
        <w:t xml:space="preserve"> </w:t>
      </w:r>
      <w:r w:rsidR="000B5F85">
        <w:rPr>
          <w:rFonts w:ascii="Myriad Pro" w:hAnsi="Myriad Pro" w:cs="Arial"/>
        </w:rPr>
        <w:t>Juan Rodolfo Sánchez Gómez</w:t>
      </w:r>
      <w:bookmarkStart w:id="0" w:name="_GoBack"/>
      <w:bookmarkEnd w:id="0"/>
      <w:r w:rsidR="00F65A39">
        <w:rPr>
          <w:rFonts w:ascii="Myriad Pro" w:hAnsi="Myriad Pro" w:cs="Arial"/>
        </w:rPr>
        <w:t xml:space="preserve"> </w:t>
      </w:r>
      <w:r w:rsidR="000B5F85">
        <w:rPr>
          <w:rFonts w:ascii="Myriad Pro" w:hAnsi="Myriad Pro" w:cs="Arial"/>
        </w:rPr>
        <w:t xml:space="preserve"> </w:t>
      </w:r>
      <w:r w:rsidRPr="00557A7A">
        <w:rPr>
          <w:rFonts w:ascii="Myriad Pro" w:hAnsi="Myriad Pro" w:cs="Arial"/>
        </w:rPr>
        <w:t>llevó a cabo la primera entrega de apoyos</w:t>
      </w:r>
      <w:r w:rsidR="000B5F85">
        <w:rPr>
          <w:rFonts w:ascii="Myriad Pro" w:hAnsi="Myriad Pro" w:cs="Arial"/>
        </w:rPr>
        <w:t xml:space="preserve"> del </w:t>
      </w:r>
      <w:r w:rsidR="0060000E">
        <w:rPr>
          <w:rFonts w:ascii="Myriad Pro" w:hAnsi="Myriad Pro" w:cs="Arial"/>
        </w:rPr>
        <w:t xml:space="preserve">presente </w:t>
      </w:r>
      <w:r w:rsidR="000B5F85">
        <w:rPr>
          <w:rFonts w:ascii="Myriad Pro" w:hAnsi="Myriad Pro" w:cs="Arial"/>
        </w:rPr>
        <w:t>año.</w:t>
      </w:r>
    </w:p>
    <w:p w14:paraId="765C0835" w14:textId="6DEA0422" w:rsidR="00557A7A" w:rsidRDefault="00E15C84" w:rsidP="00557A7A">
      <w:pPr>
        <w:spacing w:line="360" w:lineRule="auto"/>
        <w:ind w:left="-284" w:right="-234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La cantidad entregada a cada uno fue de</w:t>
      </w:r>
      <w:r w:rsidR="000B5F85">
        <w:rPr>
          <w:rFonts w:ascii="Myriad Pro" w:hAnsi="Myriad Pro" w:cs="Arial"/>
        </w:rPr>
        <w:t xml:space="preserve"> </w:t>
      </w:r>
      <w:r w:rsidR="00557A7A" w:rsidRPr="00557A7A">
        <w:rPr>
          <w:rFonts w:ascii="Myriad Pro" w:hAnsi="Myriad Pro" w:cs="Arial"/>
        </w:rPr>
        <w:t>2 mil 550 pesos,</w:t>
      </w:r>
      <w:r w:rsidR="000B5F85">
        <w:rPr>
          <w:rFonts w:ascii="Myriad Pro" w:hAnsi="Myriad Pro" w:cs="Arial"/>
        </w:rPr>
        <w:t xml:space="preserve"> que</w:t>
      </w:r>
      <w:r w:rsidR="00557A7A" w:rsidRPr="00557A7A">
        <w:rPr>
          <w:rFonts w:ascii="Myriad Pro" w:hAnsi="Myriad Pro" w:cs="Arial"/>
        </w:rPr>
        <w:t xml:space="preserve"> se pagará</w:t>
      </w:r>
      <w:r>
        <w:rPr>
          <w:rFonts w:ascii="Myriad Pro" w:hAnsi="Myriad Pro" w:cs="Arial"/>
        </w:rPr>
        <w:t>n</w:t>
      </w:r>
      <w:r w:rsidR="00557A7A" w:rsidRPr="00557A7A">
        <w:rPr>
          <w:rFonts w:ascii="Myriad Pro" w:hAnsi="Myriad Pro" w:cs="Arial"/>
        </w:rPr>
        <w:t xml:space="preserve"> cada dos meses de manera directa a los </w:t>
      </w:r>
      <w:r>
        <w:rPr>
          <w:rFonts w:ascii="Myriad Pro" w:hAnsi="Myriad Pro" w:cs="Arial"/>
        </w:rPr>
        <w:t>beneficiarios</w:t>
      </w:r>
      <w:r w:rsidR="0016268A">
        <w:rPr>
          <w:rFonts w:ascii="Myriad Pro" w:hAnsi="Myriad Pro" w:cs="Arial"/>
        </w:rPr>
        <w:t>,</w:t>
      </w:r>
      <w:r w:rsidR="00557A7A" w:rsidRPr="00557A7A">
        <w:rPr>
          <w:rFonts w:ascii="Myriad Pro" w:hAnsi="Myriad Pro" w:cs="Arial"/>
        </w:rPr>
        <w:t xml:space="preserve"> </w:t>
      </w:r>
      <w:r w:rsidR="000A50BE" w:rsidRPr="00557A7A">
        <w:rPr>
          <w:rFonts w:ascii="Myriad Pro" w:hAnsi="Myriad Pro" w:cs="Arial"/>
        </w:rPr>
        <w:t>cumpliendo las re</w:t>
      </w:r>
      <w:r w:rsidR="000A50BE">
        <w:rPr>
          <w:rFonts w:ascii="Myriad Pro" w:hAnsi="Myriad Pro" w:cs="Arial"/>
        </w:rPr>
        <w:t xml:space="preserve">glas de operación del programa </w:t>
      </w:r>
      <w:r>
        <w:rPr>
          <w:rFonts w:ascii="Myriad Pro" w:hAnsi="Myriad Pro" w:cs="Arial"/>
        </w:rPr>
        <w:t>vía depó</w:t>
      </w:r>
      <w:r w:rsidR="000A50BE" w:rsidRPr="00557A7A">
        <w:rPr>
          <w:rFonts w:ascii="Myriad Pro" w:hAnsi="Myriad Pro" w:cs="Arial"/>
        </w:rPr>
        <w:t>sito electrónico (tarjeta de déb</w:t>
      </w:r>
      <w:r w:rsidR="000A50BE">
        <w:rPr>
          <w:rFonts w:ascii="Myriad Pro" w:hAnsi="Myriad Pro" w:cs="Arial"/>
        </w:rPr>
        <w:t>ito</w:t>
      </w:r>
      <w:r>
        <w:rPr>
          <w:rFonts w:ascii="Myriad Pro" w:hAnsi="Myriad Pro" w:cs="Arial"/>
        </w:rPr>
        <w:t xml:space="preserve"> bancari</w:t>
      </w:r>
      <w:r w:rsidR="000A50BE">
        <w:rPr>
          <w:rFonts w:ascii="Myriad Pro" w:hAnsi="Myriad Pro" w:cs="Arial"/>
        </w:rPr>
        <w:t>a o giro en TELECOM).</w:t>
      </w:r>
    </w:p>
    <w:p w14:paraId="2BFF4FE7" w14:textId="466D25BF" w:rsidR="00557A7A" w:rsidRPr="00557A7A" w:rsidRDefault="000B5F85" w:rsidP="000B5F85">
      <w:pPr>
        <w:spacing w:line="360" w:lineRule="auto"/>
        <w:ind w:left="-284" w:right="-234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Al respecto, </w:t>
      </w:r>
      <w:r w:rsidR="00557A7A" w:rsidRPr="00557A7A">
        <w:rPr>
          <w:rFonts w:ascii="Myriad Pro" w:hAnsi="Myriad Pro" w:cs="Arial"/>
        </w:rPr>
        <w:t>el titular de la Dirección</w:t>
      </w:r>
      <w:r>
        <w:rPr>
          <w:rFonts w:ascii="Myriad Pro" w:hAnsi="Myriad Pro" w:cs="Arial"/>
        </w:rPr>
        <w:t xml:space="preserve"> General de Bienestar Social de Toluca</w:t>
      </w:r>
      <w:r w:rsidR="00557A7A" w:rsidRPr="00557A7A">
        <w:rPr>
          <w:rFonts w:ascii="Myriad Pro" w:hAnsi="Myriad Pro" w:cs="Arial"/>
        </w:rPr>
        <w:t xml:space="preserve">, Jorge Erick Coronel Contreras, aseguró que la prioridad del gobierno municipal es </w:t>
      </w:r>
      <w:r w:rsidR="00D83F0A">
        <w:rPr>
          <w:rFonts w:ascii="Myriad Pro" w:hAnsi="Myriad Pro" w:cs="Arial"/>
        </w:rPr>
        <w:t>elevar la calidad de vida de</w:t>
      </w:r>
      <w:r w:rsidR="00557A7A" w:rsidRPr="00557A7A">
        <w:rPr>
          <w:rFonts w:ascii="Myriad Pro" w:hAnsi="Myriad Pro" w:cs="Arial"/>
        </w:rPr>
        <w:t xml:space="preserve"> los vecinos de todas las </w:t>
      </w:r>
      <w:r w:rsidR="0091247F">
        <w:rPr>
          <w:rFonts w:ascii="Myriad Pro" w:hAnsi="Myriad Pro" w:cs="Arial"/>
        </w:rPr>
        <w:t>comunidades.</w:t>
      </w:r>
    </w:p>
    <w:p w14:paraId="6DBF74B5" w14:textId="6E2244C1" w:rsidR="00557A7A" w:rsidRDefault="0091247F" w:rsidP="000A50BE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Asimismo, dio a conocer</w:t>
      </w:r>
      <w:r w:rsidR="00557A7A" w:rsidRPr="00557A7A">
        <w:rPr>
          <w:rFonts w:ascii="Myriad Pro" w:hAnsi="Myriad Pro" w:cs="Arial"/>
        </w:rPr>
        <w:t xml:space="preserve"> que la Delegación de Program</w:t>
      </w:r>
      <w:r w:rsidR="002F5F1C">
        <w:rPr>
          <w:rFonts w:ascii="Myriad Pro" w:hAnsi="Myriad Pro" w:cs="Arial"/>
        </w:rPr>
        <w:t>as Estatales para el Desarrollo</w:t>
      </w:r>
      <w:r w:rsidR="00557A7A" w:rsidRPr="00557A7A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realiza</w:t>
      </w:r>
      <w:r w:rsidR="00557A7A" w:rsidRPr="00557A7A">
        <w:rPr>
          <w:rFonts w:ascii="Myriad Pro" w:hAnsi="Myriad Pro" w:cs="Arial"/>
        </w:rPr>
        <w:t xml:space="preserve"> un censo casa por casa</w:t>
      </w:r>
      <w:r>
        <w:rPr>
          <w:rFonts w:ascii="Myriad Pro" w:hAnsi="Myriad Pro" w:cs="Arial"/>
        </w:rPr>
        <w:t>, cuyo objetivo es</w:t>
      </w:r>
      <w:r w:rsidR="00557A7A" w:rsidRPr="00557A7A">
        <w:rPr>
          <w:rFonts w:ascii="Myriad Pro" w:hAnsi="Myriad Pro" w:cs="Arial"/>
        </w:rPr>
        <w:t xml:space="preserve"> incluir </w:t>
      </w:r>
      <w:r w:rsidR="00E15C84">
        <w:rPr>
          <w:rFonts w:ascii="Myriad Pro" w:hAnsi="Myriad Pro" w:cs="Arial"/>
        </w:rPr>
        <w:t xml:space="preserve">en el padrón de </w:t>
      </w:r>
      <w:r w:rsidR="00E15C84" w:rsidRPr="00FE5FF0">
        <w:rPr>
          <w:rFonts w:ascii="Myriad Pro" w:hAnsi="Myriad Pro" w:cs="Arial"/>
        </w:rPr>
        <w:t>Pensión para el B</w:t>
      </w:r>
      <w:r w:rsidR="00E15C84">
        <w:rPr>
          <w:rFonts w:ascii="Myriad Pro" w:hAnsi="Myriad Pro" w:cs="Arial"/>
        </w:rPr>
        <w:t>ienestar de los Adultos Mayores</w:t>
      </w:r>
      <w:r w:rsidR="00343477">
        <w:rPr>
          <w:rFonts w:ascii="Myriad Pro" w:hAnsi="Myriad Pro" w:cs="Arial"/>
        </w:rPr>
        <w:t xml:space="preserve">, </w:t>
      </w:r>
      <w:r w:rsidR="004F5046" w:rsidRPr="00557A7A">
        <w:rPr>
          <w:rFonts w:ascii="Myriad Pro" w:hAnsi="Myriad Pro" w:cs="Arial"/>
        </w:rPr>
        <w:t xml:space="preserve"> a </w:t>
      </w:r>
      <w:r w:rsidR="00E15C84">
        <w:rPr>
          <w:rFonts w:ascii="Myriad Pro" w:hAnsi="Myriad Pro" w:cs="Arial"/>
        </w:rPr>
        <w:t xml:space="preserve">todos los ciudadanos a </w:t>
      </w:r>
      <w:r w:rsidR="004F5046" w:rsidRPr="00557A7A">
        <w:rPr>
          <w:rFonts w:ascii="Myriad Pro" w:hAnsi="Myriad Pro" w:cs="Arial"/>
        </w:rPr>
        <w:t>partir de 68 años</w:t>
      </w:r>
      <w:r w:rsidR="00E15C84">
        <w:rPr>
          <w:rFonts w:ascii="Myriad Pro" w:hAnsi="Myriad Pro" w:cs="Arial"/>
        </w:rPr>
        <w:t xml:space="preserve"> de edad</w:t>
      </w:r>
      <w:r w:rsidR="00557A7A" w:rsidRPr="00557A7A">
        <w:rPr>
          <w:rFonts w:ascii="Myriad Pro" w:hAnsi="Myriad Pro" w:cs="Arial"/>
        </w:rPr>
        <w:t>.</w:t>
      </w:r>
    </w:p>
    <w:p w14:paraId="6BB5CA93" w14:textId="332BE683" w:rsidR="003A49C5" w:rsidRDefault="004D4E38" w:rsidP="00FE5FF0">
      <w:pPr>
        <w:spacing w:line="360" w:lineRule="auto"/>
        <w:ind w:left="-284" w:right="-234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</w:p>
    <w:p w14:paraId="7AA50322" w14:textId="7E5CCC45" w:rsidR="005332FB" w:rsidRPr="008F2C58" w:rsidRDefault="00BF213A" w:rsidP="0091247F">
      <w:pPr>
        <w:spacing w:line="276" w:lineRule="auto"/>
        <w:ind w:left="-284" w:right="-234"/>
        <w:jc w:val="both"/>
        <w:rPr>
          <w:rFonts w:ascii="Myriad Pro" w:hAnsi="Myriad Pro" w:cs="Arial"/>
          <w:b/>
        </w:rPr>
      </w:pPr>
      <w:r w:rsidRPr="008F2C58">
        <w:rPr>
          <w:rFonts w:ascii="Myriad Pro" w:hAnsi="Myriad Pro" w:cs="Arial"/>
          <w:b/>
        </w:rPr>
        <w:t xml:space="preserve">Toluca, Estado de México.- </w:t>
      </w:r>
      <w:r w:rsidR="00E15C84">
        <w:rPr>
          <w:rFonts w:ascii="Myriad Pro" w:hAnsi="Myriad Pro" w:cs="Arial"/>
        </w:rPr>
        <w:t>Con gran alegría, 7 mil 568 abuelitos</w:t>
      </w:r>
      <w:r w:rsidR="00E15C84" w:rsidRPr="00557A7A">
        <w:rPr>
          <w:rFonts w:ascii="Myriad Pro" w:hAnsi="Myriad Pro" w:cs="Arial"/>
        </w:rPr>
        <w:t xml:space="preserve"> de 89 localidades </w:t>
      </w:r>
      <w:r w:rsidR="00E15C84">
        <w:rPr>
          <w:rFonts w:ascii="Myriad Pro" w:hAnsi="Myriad Pro" w:cs="Arial"/>
        </w:rPr>
        <w:t>de Toluca recibieron</w:t>
      </w:r>
      <w:r w:rsidR="00E15C84" w:rsidRPr="00557A7A">
        <w:rPr>
          <w:rFonts w:ascii="Myriad Pro" w:hAnsi="Myriad Pro" w:cs="Arial"/>
        </w:rPr>
        <w:t xml:space="preserve"> </w:t>
      </w:r>
      <w:r w:rsidR="00E15C84">
        <w:rPr>
          <w:rFonts w:ascii="Myriad Pro" w:hAnsi="Myriad Pro" w:cs="Arial"/>
        </w:rPr>
        <w:t>apoyos</w:t>
      </w:r>
      <w:r w:rsidR="00E15C84" w:rsidRPr="00557A7A">
        <w:rPr>
          <w:rFonts w:ascii="Myriad Pro" w:hAnsi="Myriad Pro" w:cs="Arial"/>
        </w:rPr>
        <w:t xml:space="preserve"> </w:t>
      </w:r>
      <w:r w:rsidR="00E15C84">
        <w:rPr>
          <w:rFonts w:ascii="Myriad Pro" w:hAnsi="Myriad Pro" w:cs="Arial"/>
        </w:rPr>
        <w:t xml:space="preserve">del programa federal </w:t>
      </w:r>
      <w:r w:rsidR="00E15C84" w:rsidRPr="00FE5FF0">
        <w:rPr>
          <w:rFonts w:ascii="Myriad Pro" w:hAnsi="Myriad Pro" w:cs="Arial"/>
        </w:rPr>
        <w:t>Pensión para el B</w:t>
      </w:r>
      <w:r w:rsidR="00E15C84">
        <w:rPr>
          <w:rFonts w:ascii="Myriad Pro" w:hAnsi="Myriad Pro" w:cs="Arial"/>
        </w:rPr>
        <w:t>ienestar de los Adultos Mayores</w:t>
      </w:r>
      <w:r w:rsidR="00E15C84" w:rsidRPr="00FE5FF0">
        <w:rPr>
          <w:rFonts w:ascii="Myriad Pro" w:hAnsi="Myriad Pro" w:cs="Arial"/>
        </w:rPr>
        <w:t>,</w:t>
      </w:r>
      <w:r w:rsidR="00E15C84">
        <w:rPr>
          <w:rFonts w:ascii="Myriad Pro" w:hAnsi="Myriad Pro" w:cs="Arial"/>
        </w:rPr>
        <w:t xml:space="preserve"> cuya primera etapa </w:t>
      </w:r>
      <w:r w:rsidR="00E15C84" w:rsidRPr="00FE5FF0">
        <w:rPr>
          <w:rFonts w:ascii="Myriad Pro" w:hAnsi="Myriad Pro" w:cs="Arial"/>
        </w:rPr>
        <w:t xml:space="preserve">concluyó </w:t>
      </w:r>
      <w:r w:rsidR="00E15C84">
        <w:rPr>
          <w:rFonts w:ascii="Myriad Pro" w:hAnsi="Myriad Pro" w:cs="Arial"/>
        </w:rPr>
        <w:t>con éxito al cumplir el compromiso con este importante sector de la población.</w:t>
      </w:r>
      <w:r w:rsidR="002F5F1C">
        <w:rPr>
          <w:rFonts w:ascii="Myriad Pro" w:hAnsi="Myriad Pro" w:cs="Arial"/>
        </w:rPr>
        <w:t xml:space="preserve"> </w:t>
      </w:r>
      <w:r w:rsidR="002F5F1C">
        <w:rPr>
          <w:rFonts w:ascii="Myriad Pro" w:hAnsi="Myriad Pro" w:cs="Arial"/>
        </w:rPr>
        <w:tab/>
      </w:r>
    </w:p>
    <w:sectPr w:rsidR="005332FB" w:rsidRPr="008F2C58" w:rsidSect="00182052">
      <w:headerReference w:type="default" r:id="rId9"/>
      <w:footerReference w:type="default" r:id="rId10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4C571" w14:textId="77777777" w:rsidR="007834F8" w:rsidRDefault="007834F8" w:rsidP="008821FA">
      <w:r>
        <w:separator/>
      </w:r>
    </w:p>
  </w:endnote>
  <w:endnote w:type="continuationSeparator" w:id="0">
    <w:p w14:paraId="740C06E4" w14:textId="77777777" w:rsidR="007834F8" w:rsidRDefault="007834F8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A1335" w14:textId="77777777" w:rsidR="007834F8" w:rsidRDefault="007834F8" w:rsidP="008821FA">
      <w:r>
        <w:separator/>
      </w:r>
    </w:p>
  </w:footnote>
  <w:footnote w:type="continuationSeparator" w:id="0">
    <w:p w14:paraId="69145EFE" w14:textId="77777777" w:rsidR="007834F8" w:rsidRDefault="007834F8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6D104098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6C5C8F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0130/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6D104098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6C5C8F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0130/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244DF"/>
    <w:rsid w:val="00032848"/>
    <w:rsid w:val="00063B42"/>
    <w:rsid w:val="0007687F"/>
    <w:rsid w:val="0009682D"/>
    <w:rsid w:val="000A50BE"/>
    <w:rsid w:val="000A5FA9"/>
    <w:rsid w:val="000B1C02"/>
    <w:rsid w:val="000B5F85"/>
    <w:rsid w:val="000D7D11"/>
    <w:rsid w:val="00106837"/>
    <w:rsid w:val="00142177"/>
    <w:rsid w:val="0016268A"/>
    <w:rsid w:val="00165AE2"/>
    <w:rsid w:val="00170057"/>
    <w:rsid w:val="001741F8"/>
    <w:rsid w:val="00182052"/>
    <w:rsid w:val="00197753"/>
    <w:rsid w:val="001B5F5E"/>
    <w:rsid w:val="001C07F0"/>
    <w:rsid w:val="001C3CE1"/>
    <w:rsid w:val="001D2989"/>
    <w:rsid w:val="001E2A8E"/>
    <w:rsid w:val="001E4918"/>
    <w:rsid w:val="001E7B30"/>
    <w:rsid w:val="00200419"/>
    <w:rsid w:val="002134BB"/>
    <w:rsid w:val="00224D91"/>
    <w:rsid w:val="00230E37"/>
    <w:rsid w:val="0025603A"/>
    <w:rsid w:val="00261810"/>
    <w:rsid w:val="0026290D"/>
    <w:rsid w:val="0027044E"/>
    <w:rsid w:val="00274E86"/>
    <w:rsid w:val="002758F2"/>
    <w:rsid w:val="002837B0"/>
    <w:rsid w:val="00283EF2"/>
    <w:rsid w:val="0028629F"/>
    <w:rsid w:val="0029232E"/>
    <w:rsid w:val="002B0FBB"/>
    <w:rsid w:val="002B66E1"/>
    <w:rsid w:val="002E15FF"/>
    <w:rsid w:val="002E3277"/>
    <w:rsid w:val="002F5F1C"/>
    <w:rsid w:val="00322E4E"/>
    <w:rsid w:val="00326299"/>
    <w:rsid w:val="00333A79"/>
    <w:rsid w:val="00335AE3"/>
    <w:rsid w:val="00336A8D"/>
    <w:rsid w:val="00337397"/>
    <w:rsid w:val="00343477"/>
    <w:rsid w:val="003A49C5"/>
    <w:rsid w:val="003C7B54"/>
    <w:rsid w:val="003D1A75"/>
    <w:rsid w:val="003D686E"/>
    <w:rsid w:val="003E3147"/>
    <w:rsid w:val="00403CB4"/>
    <w:rsid w:val="00415CDD"/>
    <w:rsid w:val="00443A88"/>
    <w:rsid w:val="0045561F"/>
    <w:rsid w:val="00462F94"/>
    <w:rsid w:val="00476F43"/>
    <w:rsid w:val="0048418E"/>
    <w:rsid w:val="00487ADD"/>
    <w:rsid w:val="00497329"/>
    <w:rsid w:val="004D4E38"/>
    <w:rsid w:val="004D6B2E"/>
    <w:rsid w:val="004E33AD"/>
    <w:rsid w:val="004F24AE"/>
    <w:rsid w:val="004F5046"/>
    <w:rsid w:val="00524510"/>
    <w:rsid w:val="00527A3A"/>
    <w:rsid w:val="005332FB"/>
    <w:rsid w:val="00545F29"/>
    <w:rsid w:val="00556DEE"/>
    <w:rsid w:val="00557A7A"/>
    <w:rsid w:val="00565FC0"/>
    <w:rsid w:val="00582C37"/>
    <w:rsid w:val="005E1F37"/>
    <w:rsid w:val="005F2FA3"/>
    <w:rsid w:val="005F5C8A"/>
    <w:rsid w:val="0060000E"/>
    <w:rsid w:val="00615EF8"/>
    <w:rsid w:val="00625410"/>
    <w:rsid w:val="00630E91"/>
    <w:rsid w:val="0065383B"/>
    <w:rsid w:val="006A7663"/>
    <w:rsid w:val="006C3A10"/>
    <w:rsid w:val="006C5C8F"/>
    <w:rsid w:val="006D2BB2"/>
    <w:rsid w:val="006E666F"/>
    <w:rsid w:val="006F3889"/>
    <w:rsid w:val="0070292A"/>
    <w:rsid w:val="00744631"/>
    <w:rsid w:val="00763B89"/>
    <w:rsid w:val="007741E1"/>
    <w:rsid w:val="007834F8"/>
    <w:rsid w:val="007D4B44"/>
    <w:rsid w:val="007E6390"/>
    <w:rsid w:val="00835D8D"/>
    <w:rsid w:val="00850C80"/>
    <w:rsid w:val="00852285"/>
    <w:rsid w:val="0085456E"/>
    <w:rsid w:val="008577B5"/>
    <w:rsid w:val="0087176A"/>
    <w:rsid w:val="00875E95"/>
    <w:rsid w:val="008821FA"/>
    <w:rsid w:val="00896861"/>
    <w:rsid w:val="008B7007"/>
    <w:rsid w:val="008D46C5"/>
    <w:rsid w:val="008F2C58"/>
    <w:rsid w:val="00910AA1"/>
    <w:rsid w:val="0091247F"/>
    <w:rsid w:val="00913BE2"/>
    <w:rsid w:val="00914C90"/>
    <w:rsid w:val="00922EC9"/>
    <w:rsid w:val="00943DE3"/>
    <w:rsid w:val="00946DA7"/>
    <w:rsid w:val="00960019"/>
    <w:rsid w:val="009A0F47"/>
    <w:rsid w:val="009A480D"/>
    <w:rsid w:val="009B326E"/>
    <w:rsid w:val="009B4A24"/>
    <w:rsid w:val="009B6F9A"/>
    <w:rsid w:val="009B7921"/>
    <w:rsid w:val="009C2E40"/>
    <w:rsid w:val="009F5E6E"/>
    <w:rsid w:val="00A14A90"/>
    <w:rsid w:val="00A33615"/>
    <w:rsid w:val="00A723DF"/>
    <w:rsid w:val="00A7628E"/>
    <w:rsid w:val="00AA2886"/>
    <w:rsid w:val="00AB4EE0"/>
    <w:rsid w:val="00AB59F8"/>
    <w:rsid w:val="00AC08BB"/>
    <w:rsid w:val="00AD3100"/>
    <w:rsid w:val="00AD569D"/>
    <w:rsid w:val="00AF6616"/>
    <w:rsid w:val="00B07E71"/>
    <w:rsid w:val="00B333E3"/>
    <w:rsid w:val="00B67836"/>
    <w:rsid w:val="00B95B52"/>
    <w:rsid w:val="00BA15BC"/>
    <w:rsid w:val="00BA5D8F"/>
    <w:rsid w:val="00BC0093"/>
    <w:rsid w:val="00BE3A92"/>
    <w:rsid w:val="00BF1A22"/>
    <w:rsid w:val="00BF213A"/>
    <w:rsid w:val="00C42D28"/>
    <w:rsid w:val="00C557B3"/>
    <w:rsid w:val="00C570CE"/>
    <w:rsid w:val="00C77B95"/>
    <w:rsid w:val="00C9652D"/>
    <w:rsid w:val="00C971A6"/>
    <w:rsid w:val="00C974E6"/>
    <w:rsid w:val="00CA3AFE"/>
    <w:rsid w:val="00CC198B"/>
    <w:rsid w:val="00CD01B4"/>
    <w:rsid w:val="00CE5622"/>
    <w:rsid w:val="00CF263C"/>
    <w:rsid w:val="00D12673"/>
    <w:rsid w:val="00D51429"/>
    <w:rsid w:val="00D630F6"/>
    <w:rsid w:val="00D81152"/>
    <w:rsid w:val="00D83F0A"/>
    <w:rsid w:val="00D962F6"/>
    <w:rsid w:val="00DA32E0"/>
    <w:rsid w:val="00DA367B"/>
    <w:rsid w:val="00DB57B0"/>
    <w:rsid w:val="00DD50D4"/>
    <w:rsid w:val="00DE1D9C"/>
    <w:rsid w:val="00DE40B8"/>
    <w:rsid w:val="00DF03AC"/>
    <w:rsid w:val="00DF19AB"/>
    <w:rsid w:val="00E0715C"/>
    <w:rsid w:val="00E11411"/>
    <w:rsid w:val="00E15C84"/>
    <w:rsid w:val="00E32FC8"/>
    <w:rsid w:val="00E639BD"/>
    <w:rsid w:val="00E66D40"/>
    <w:rsid w:val="00E72E7F"/>
    <w:rsid w:val="00E80202"/>
    <w:rsid w:val="00E86357"/>
    <w:rsid w:val="00E96D1E"/>
    <w:rsid w:val="00EB06EB"/>
    <w:rsid w:val="00EB4E7D"/>
    <w:rsid w:val="00ED4464"/>
    <w:rsid w:val="00EE30F5"/>
    <w:rsid w:val="00EF271E"/>
    <w:rsid w:val="00F26867"/>
    <w:rsid w:val="00F335C0"/>
    <w:rsid w:val="00F477A2"/>
    <w:rsid w:val="00F51695"/>
    <w:rsid w:val="00F6575B"/>
    <w:rsid w:val="00F65A39"/>
    <w:rsid w:val="00F76A4B"/>
    <w:rsid w:val="00F91FC3"/>
    <w:rsid w:val="00FA1B36"/>
    <w:rsid w:val="00FB0D60"/>
    <w:rsid w:val="00FC0C55"/>
    <w:rsid w:val="00FC12CC"/>
    <w:rsid w:val="00FC3717"/>
    <w:rsid w:val="00FC7116"/>
    <w:rsid w:val="00FD43FC"/>
    <w:rsid w:val="00FD5BE9"/>
    <w:rsid w:val="00FE5FF0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55BD-CFF0-41F3-B1EF-E7DAEA26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4</cp:revision>
  <dcterms:created xsi:type="dcterms:W3CDTF">2019-02-11T19:12:00Z</dcterms:created>
  <dcterms:modified xsi:type="dcterms:W3CDTF">2019-02-11T19:23:00Z</dcterms:modified>
</cp:coreProperties>
</file>