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D09F" w14:textId="63D80271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381F5A">
        <w:rPr>
          <w:rFonts w:ascii="Arial" w:hAnsi="Arial"/>
          <w:b/>
          <w:color w:val="808080"/>
          <w:szCs w:val="40"/>
        </w:rPr>
        <w:t>0030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69B42253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E95BDB1" w14:textId="540D3C9D" w:rsidR="00992F08" w:rsidRDefault="00381F5A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Toluca está cambiando; </w:t>
      </w:r>
      <w:r w:rsidR="002C3501">
        <w:rPr>
          <w:rFonts w:ascii="Arial" w:hAnsi="Arial" w:cs="Arial"/>
          <w:b/>
        </w:rPr>
        <w:t xml:space="preserve">Centro Histórico dará la bienvenida a un nuevo espacio público vibrante, vanguardista y sustentable </w:t>
      </w:r>
    </w:p>
    <w:p w14:paraId="119B0C97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43EB5CE" w14:textId="26718D62" w:rsidR="004042AB" w:rsidRDefault="002C3501" w:rsidP="00404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Será un pulmón verde para el Valle </w:t>
      </w:r>
      <w:r w:rsidR="00381F5A">
        <w:rPr>
          <w:rFonts w:ascii="Arial" w:eastAsia="Arial" w:hAnsi="Arial" w:cs="Arial"/>
          <w:i/>
          <w:color w:val="000000"/>
          <w:sz w:val="22"/>
          <w:szCs w:val="22"/>
        </w:rPr>
        <w:t xml:space="preserve">de Toluca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y tendrá el primer Planetario del Estado de México </w:t>
      </w:r>
    </w:p>
    <w:p w14:paraId="74D1551B" w14:textId="77777777" w:rsidR="002C3501" w:rsidRDefault="002C3501" w:rsidP="00404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Se lanzará una convocatoria para que las familias lo nombren y lo hagan suyo</w:t>
      </w:r>
    </w:p>
    <w:p w14:paraId="1DBAF2A2" w14:textId="77777777"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7FAF437" w14:textId="00E49A13" w:rsidR="00CC3AB3" w:rsidRDefault="00992F08" w:rsidP="004C572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4C5722">
        <w:rPr>
          <w:rFonts w:ascii="Arial" w:hAnsi="Arial" w:cs="Arial"/>
          <w:b/>
        </w:rPr>
        <w:t>miércoles 15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4C5722">
        <w:rPr>
          <w:rFonts w:ascii="Arial" w:hAnsi="Arial" w:cs="Arial"/>
          <w:shd w:val="clear" w:color="auto" w:fill="FFFFFF"/>
        </w:rPr>
        <w:t>Rumbo a la celebración de los 500 años de</w:t>
      </w:r>
      <w:r w:rsidR="00CC3AB3">
        <w:rPr>
          <w:rFonts w:ascii="Arial" w:hAnsi="Arial" w:cs="Arial"/>
          <w:shd w:val="clear" w:color="auto" w:fill="FFFFFF"/>
        </w:rPr>
        <w:t xml:space="preserve"> </w:t>
      </w:r>
      <w:r w:rsidR="004C5722">
        <w:rPr>
          <w:rFonts w:ascii="Arial" w:hAnsi="Arial" w:cs="Arial"/>
          <w:shd w:val="clear" w:color="auto" w:fill="FFFFFF"/>
        </w:rPr>
        <w:t>Toluca</w:t>
      </w:r>
      <w:r w:rsidR="002A0E57">
        <w:rPr>
          <w:rFonts w:ascii="Arial" w:hAnsi="Arial" w:cs="Arial"/>
          <w:shd w:val="clear" w:color="auto" w:fill="FFFFFF"/>
        </w:rPr>
        <w:t>,</w:t>
      </w:r>
      <w:r w:rsidR="004C5722">
        <w:rPr>
          <w:rFonts w:ascii="Arial" w:hAnsi="Arial" w:cs="Arial"/>
          <w:shd w:val="clear" w:color="auto" w:fill="FFFFFF"/>
        </w:rPr>
        <w:t xml:space="preserve"> el Centro Histórico dará la bienvenida a un</w:t>
      </w:r>
      <w:r w:rsidR="00CC3AB3">
        <w:rPr>
          <w:rFonts w:ascii="Arial" w:hAnsi="Arial" w:cs="Arial"/>
          <w:shd w:val="clear" w:color="auto" w:fill="FFFFFF"/>
        </w:rPr>
        <w:t xml:space="preserve"> nuevo espacio</w:t>
      </w:r>
      <w:r w:rsidR="000C526D">
        <w:rPr>
          <w:rFonts w:ascii="Arial" w:hAnsi="Arial" w:cs="Arial"/>
          <w:shd w:val="clear" w:color="auto" w:fill="FFFFFF"/>
        </w:rPr>
        <w:t xml:space="preserve"> vibrante, vanguardista y sustentable, en un parque público de 9 mil 300 metros cuadrados que</w:t>
      </w:r>
      <w:r w:rsidR="007129DE">
        <w:rPr>
          <w:rFonts w:ascii="Arial" w:hAnsi="Arial" w:cs="Arial"/>
          <w:shd w:val="clear" w:color="auto" w:fill="FFFFFF"/>
        </w:rPr>
        <w:t xml:space="preserve"> </w:t>
      </w:r>
      <w:r w:rsidR="000C526D">
        <w:rPr>
          <w:rFonts w:ascii="Arial" w:hAnsi="Arial" w:cs="Arial"/>
          <w:shd w:val="clear" w:color="auto" w:fill="FFFFFF"/>
        </w:rPr>
        <w:t>generará</w:t>
      </w:r>
      <w:r w:rsidR="007129DE">
        <w:rPr>
          <w:rFonts w:ascii="Arial" w:hAnsi="Arial" w:cs="Arial"/>
          <w:shd w:val="clear" w:color="auto" w:fill="FFFFFF"/>
        </w:rPr>
        <w:t>n</w:t>
      </w:r>
      <w:r w:rsidR="000C526D">
        <w:rPr>
          <w:rFonts w:ascii="Arial" w:hAnsi="Arial" w:cs="Arial"/>
          <w:shd w:val="clear" w:color="auto" w:fill="FFFFFF"/>
        </w:rPr>
        <w:t xml:space="preserve"> un pulmón verde para todo el Valle</w:t>
      </w:r>
      <w:r w:rsidR="00381F5A">
        <w:rPr>
          <w:rFonts w:ascii="Arial" w:hAnsi="Arial" w:cs="Arial"/>
          <w:shd w:val="clear" w:color="auto" w:fill="FFFFFF"/>
        </w:rPr>
        <w:t xml:space="preserve"> de Toluca</w:t>
      </w:r>
      <w:r w:rsidR="000C526D">
        <w:rPr>
          <w:rFonts w:ascii="Arial" w:hAnsi="Arial" w:cs="Arial"/>
          <w:shd w:val="clear" w:color="auto" w:fill="FFFFFF"/>
        </w:rPr>
        <w:t xml:space="preserve"> y tendrá el primer Planetario de la entidad, único a nivel nacional por sus características tecnológicas y sus grandes dimensiones. </w:t>
      </w:r>
    </w:p>
    <w:p w14:paraId="6177A0C5" w14:textId="77777777" w:rsidR="004C5722" w:rsidRDefault="000C526D" w:rsidP="000C526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gobierno del Estado de México, en coordinación con el Ayuntamiento de Toluca, </w:t>
      </w:r>
      <w:r w:rsidR="00757C63">
        <w:rPr>
          <w:rFonts w:ascii="Arial" w:hAnsi="Arial" w:cs="Arial"/>
          <w:shd w:val="clear" w:color="auto" w:fill="FFFFFF"/>
        </w:rPr>
        <w:t>creará</w:t>
      </w:r>
      <w:r>
        <w:rPr>
          <w:rFonts w:ascii="Arial" w:hAnsi="Arial" w:cs="Arial"/>
          <w:shd w:val="clear" w:color="auto" w:fill="FFFFFF"/>
        </w:rPr>
        <w:t xml:space="preserve"> esta infraestructura de alto estándar que generará inversión, desarrollo comercial, cultural y turístico, </w:t>
      </w:r>
      <w:r w:rsidR="00757C63">
        <w:rPr>
          <w:rFonts w:ascii="Arial" w:hAnsi="Arial" w:cs="Arial"/>
          <w:shd w:val="clear" w:color="auto" w:fill="FFFFFF"/>
        </w:rPr>
        <w:t>y</w:t>
      </w:r>
      <w:r>
        <w:rPr>
          <w:rFonts w:ascii="Arial" w:hAnsi="Arial" w:cs="Arial"/>
          <w:shd w:val="clear" w:color="auto" w:fill="FFFFFF"/>
        </w:rPr>
        <w:t xml:space="preserve"> abrirá sus puertas en 2021 para el disfrute de la comunidad. </w:t>
      </w:r>
    </w:p>
    <w:p w14:paraId="455F87A6" w14:textId="77777777" w:rsidR="000C526D" w:rsidRPr="004C5722" w:rsidRDefault="000C526D" w:rsidP="007129D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conferencia de prensa, </w:t>
      </w:r>
      <w:r w:rsidR="007129DE">
        <w:rPr>
          <w:rFonts w:ascii="Arial" w:hAnsi="Arial" w:cs="Arial"/>
          <w:shd w:val="clear" w:color="auto" w:fill="FFFFFF"/>
        </w:rPr>
        <w:t>e</w:t>
      </w:r>
      <w:r w:rsidRPr="004C5722">
        <w:rPr>
          <w:rFonts w:ascii="Arial" w:hAnsi="Arial" w:cs="Arial"/>
          <w:shd w:val="clear" w:color="auto" w:fill="FFFFFF"/>
        </w:rPr>
        <w:t xml:space="preserve">l alcalde Juan Rodolfo Sánchez Gómez </w:t>
      </w:r>
      <w:r>
        <w:rPr>
          <w:rFonts w:ascii="Arial" w:hAnsi="Arial" w:cs="Arial"/>
          <w:shd w:val="clear" w:color="auto" w:fill="FFFFFF"/>
        </w:rPr>
        <w:t xml:space="preserve">explicó que </w:t>
      </w:r>
      <w:r w:rsidRPr="004C5722">
        <w:rPr>
          <w:rFonts w:ascii="Arial" w:hAnsi="Arial" w:cs="Arial"/>
          <w:shd w:val="clear" w:color="auto" w:fill="FFFFFF"/>
        </w:rPr>
        <w:t xml:space="preserve">se trata de un momento histórico </w:t>
      </w:r>
      <w:r>
        <w:rPr>
          <w:rFonts w:ascii="Arial" w:hAnsi="Arial" w:cs="Arial"/>
          <w:shd w:val="clear" w:color="auto" w:fill="FFFFFF"/>
        </w:rPr>
        <w:t xml:space="preserve">para la capital, ya que se transformará </w:t>
      </w:r>
      <w:r w:rsidRPr="004C5722">
        <w:rPr>
          <w:rFonts w:ascii="Arial" w:hAnsi="Arial" w:cs="Arial"/>
          <w:shd w:val="clear" w:color="auto" w:fill="FFFFFF"/>
        </w:rPr>
        <w:t>la Plaza Ángel María Garibay</w:t>
      </w:r>
      <w:r w:rsidR="007129DE">
        <w:rPr>
          <w:rFonts w:ascii="Arial" w:hAnsi="Arial" w:cs="Arial"/>
          <w:shd w:val="clear" w:color="auto" w:fill="FFFFFF"/>
        </w:rPr>
        <w:t xml:space="preserve">, que tiene como </w:t>
      </w:r>
      <w:r w:rsidR="007129DE" w:rsidRPr="007129DE">
        <w:rPr>
          <w:rFonts w:ascii="Arial" w:hAnsi="Arial" w:cs="Arial"/>
          <w:shd w:val="clear" w:color="auto" w:fill="FFFFFF"/>
        </w:rPr>
        <w:t>punto de referencia el Cosmovitral</w:t>
      </w:r>
      <w:r w:rsidR="007129DE">
        <w:rPr>
          <w:rFonts w:ascii="Arial" w:hAnsi="Arial" w:cs="Arial"/>
          <w:shd w:val="clear" w:color="auto" w:fill="FFFFFF"/>
        </w:rPr>
        <w:t>,</w:t>
      </w:r>
      <w:r w:rsidR="007129DE" w:rsidRPr="007129DE">
        <w:rPr>
          <w:rFonts w:ascii="Arial" w:hAnsi="Arial" w:cs="Arial"/>
          <w:shd w:val="clear" w:color="auto" w:fill="FFFFFF"/>
        </w:rPr>
        <w:t xml:space="preserve"> y se aprovechará todo el espacio del estacionamiento subterráneo, ya que la plancha </w:t>
      </w:r>
      <w:r w:rsidR="007129DE">
        <w:rPr>
          <w:rFonts w:ascii="Arial" w:hAnsi="Arial" w:cs="Arial"/>
          <w:shd w:val="clear" w:color="auto" w:fill="FFFFFF"/>
        </w:rPr>
        <w:t xml:space="preserve">no </w:t>
      </w:r>
      <w:r w:rsidR="007129DE" w:rsidRPr="007129DE">
        <w:rPr>
          <w:rFonts w:ascii="Arial" w:hAnsi="Arial" w:cs="Arial"/>
          <w:shd w:val="clear" w:color="auto" w:fill="FFFFFF"/>
        </w:rPr>
        <w:t>aguanta</w:t>
      </w:r>
      <w:r w:rsidR="007129DE">
        <w:rPr>
          <w:rFonts w:ascii="Arial" w:hAnsi="Arial" w:cs="Arial"/>
          <w:shd w:val="clear" w:color="auto" w:fill="FFFFFF"/>
        </w:rPr>
        <w:t>ba</w:t>
      </w:r>
      <w:r w:rsidR="007129DE" w:rsidRPr="007129DE">
        <w:rPr>
          <w:rFonts w:ascii="Arial" w:hAnsi="Arial" w:cs="Arial"/>
          <w:shd w:val="clear" w:color="auto" w:fill="FFFFFF"/>
        </w:rPr>
        <w:t xml:space="preserve"> el peso y requ</w:t>
      </w:r>
      <w:r w:rsidR="007129DE">
        <w:rPr>
          <w:rFonts w:ascii="Arial" w:hAnsi="Arial" w:cs="Arial"/>
          <w:shd w:val="clear" w:color="auto" w:fill="FFFFFF"/>
        </w:rPr>
        <w:t>ería</w:t>
      </w:r>
      <w:r w:rsidR="007129DE" w:rsidRPr="007129DE">
        <w:rPr>
          <w:rFonts w:ascii="Arial" w:hAnsi="Arial" w:cs="Arial"/>
          <w:shd w:val="clear" w:color="auto" w:fill="FFFFFF"/>
        </w:rPr>
        <w:t xml:space="preserve"> mejoras. </w:t>
      </w:r>
    </w:p>
    <w:p w14:paraId="7CE3BC39" w14:textId="456A63F4" w:rsidR="002A6688" w:rsidRDefault="007D4138" w:rsidP="002A668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su parte e</w:t>
      </w:r>
      <w:r w:rsidR="002A6688" w:rsidRPr="004C5722">
        <w:rPr>
          <w:rFonts w:ascii="Arial" w:hAnsi="Arial" w:cs="Arial"/>
          <w:shd w:val="clear" w:color="auto" w:fill="FFFFFF"/>
        </w:rPr>
        <w:t xml:space="preserve">l gobernador Alfredo del Mazo Maza </w:t>
      </w:r>
      <w:r w:rsidR="002A6688">
        <w:rPr>
          <w:rFonts w:ascii="Arial" w:hAnsi="Arial" w:cs="Arial"/>
          <w:shd w:val="clear" w:color="auto" w:fill="FFFFFF"/>
        </w:rPr>
        <w:t>explicó que este</w:t>
      </w:r>
      <w:r w:rsidR="002A6688" w:rsidRPr="004C5722">
        <w:rPr>
          <w:rFonts w:ascii="Arial" w:hAnsi="Arial" w:cs="Arial"/>
          <w:shd w:val="clear" w:color="auto" w:fill="FFFFFF"/>
        </w:rPr>
        <w:t xml:space="preserve"> proyecto</w:t>
      </w:r>
      <w:r w:rsidR="002A6688">
        <w:rPr>
          <w:rFonts w:ascii="Arial" w:hAnsi="Arial" w:cs="Arial"/>
          <w:shd w:val="clear" w:color="auto" w:fill="FFFFFF"/>
        </w:rPr>
        <w:t>, con una inversión de 350 millones de pesos, busca</w:t>
      </w:r>
      <w:r w:rsidR="002A6688" w:rsidRPr="004C5722">
        <w:rPr>
          <w:rFonts w:ascii="Arial" w:hAnsi="Arial" w:cs="Arial"/>
          <w:shd w:val="clear" w:color="auto" w:fill="FFFFFF"/>
        </w:rPr>
        <w:t xml:space="preserve"> impulsar y recuper</w:t>
      </w:r>
      <w:r w:rsidR="00757C63">
        <w:rPr>
          <w:rFonts w:ascii="Arial" w:hAnsi="Arial" w:cs="Arial"/>
          <w:shd w:val="clear" w:color="auto" w:fill="FFFFFF"/>
        </w:rPr>
        <w:t>ar la vida cultural del Centro H</w:t>
      </w:r>
      <w:r w:rsidR="002A6688" w:rsidRPr="004C5722">
        <w:rPr>
          <w:rFonts w:ascii="Arial" w:hAnsi="Arial" w:cs="Arial"/>
          <w:shd w:val="clear" w:color="auto" w:fill="FFFFFF"/>
        </w:rPr>
        <w:t>istórico de Toluca</w:t>
      </w:r>
      <w:r w:rsidR="002A6688">
        <w:rPr>
          <w:rFonts w:ascii="Arial" w:hAnsi="Arial" w:cs="Arial"/>
          <w:shd w:val="clear" w:color="auto" w:fill="FFFFFF"/>
        </w:rPr>
        <w:t xml:space="preserve"> y contará con andadores, mobiliario urbano incluyente, sistema de aprovechamiento de agua pluvial y fuentes interactivas.</w:t>
      </w:r>
    </w:p>
    <w:p w14:paraId="47B8DD81" w14:textId="77777777" w:rsidR="002A6688" w:rsidRPr="004C5722" w:rsidRDefault="002A6688" w:rsidP="002A668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También detalló que serán más de 24 mil metros cuadrados los que se intervendrán</w:t>
      </w:r>
      <w:r w:rsidR="001F463E">
        <w:rPr>
          <w:rFonts w:ascii="Arial" w:hAnsi="Arial" w:cs="Arial"/>
          <w:shd w:val="clear" w:color="auto" w:fill="FFFFFF"/>
        </w:rPr>
        <w:t xml:space="preserve"> en total para convertirse</w:t>
      </w:r>
      <w:r w:rsidRPr="004C5722">
        <w:rPr>
          <w:rFonts w:ascii="Arial" w:hAnsi="Arial" w:cs="Arial"/>
          <w:shd w:val="clear" w:color="auto" w:fill="FFFFFF"/>
        </w:rPr>
        <w:t xml:space="preserve"> en 32 mil metros</w:t>
      </w:r>
      <w:r>
        <w:rPr>
          <w:rFonts w:ascii="Arial" w:hAnsi="Arial" w:cs="Arial"/>
          <w:shd w:val="clear" w:color="auto" w:fill="FFFFFF"/>
        </w:rPr>
        <w:t xml:space="preserve"> de áreas aprovechables, en especial</w:t>
      </w:r>
      <w:r w:rsidRPr="004C5722">
        <w:rPr>
          <w:rFonts w:ascii="Arial" w:hAnsi="Arial" w:cs="Arial"/>
          <w:shd w:val="clear" w:color="auto" w:fill="FFFFFF"/>
        </w:rPr>
        <w:t xml:space="preserve"> 14 mil metros de áreas verde</w:t>
      </w:r>
      <w:r>
        <w:rPr>
          <w:rFonts w:ascii="Arial" w:hAnsi="Arial" w:cs="Arial"/>
          <w:shd w:val="clear" w:color="auto" w:fill="FFFFFF"/>
        </w:rPr>
        <w:t>s</w:t>
      </w:r>
      <w:r w:rsidRPr="004C5722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mil 200 </w:t>
      </w:r>
      <w:r w:rsidRPr="004C5722">
        <w:rPr>
          <w:rFonts w:ascii="Arial" w:hAnsi="Arial" w:cs="Arial"/>
          <w:shd w:val="clear" w:color="auto" w:fill="FFFFFF"/>
        </w:rPr>
        <w:t xml:space="preserve">espacios comerciales, andadores, </w:t>
      </w:r>
      <w:r w:rsidRPr="004C5722">
        <w:rPr>
          <w:rFonts w:ascii="Arial" w:hAnsi="Arial" w:cs="Arial"/>
          <w:shd w:val="clear" w:color="auto" w:fill="FFFFFF"/>
        </w:rPr>
        <w:lastRenderedPageBreak/>
        <w:t>espacios de exposiciones</w:t>
      </w:r>
      <w:r w:rsidR="001F463E">
        <w:rPr>
          <w:rFonts w:ascii="Arial" w:hAnsi="Arial" w:cs="Arial"/>
          <w:shd w:val="clear" w:color="auto" w:fill="FFFFFF"/>
        </w:rPr>
        <w:t>,</w:t>
      </w:r>
      <w:r w:rsidRPr="004C5722">
        <w:rPr>
          <w:rFonts w:ascii="Arial" w:hAnsi="Arial" w:cs="Arial"/>
          <w:shd w:val="clear" w:color="auto" w:fill="FFFFFF"/>
        </w:rPr>
        <w:t xml:space="preserve"> áreas de convivencia </w:t>
      </w:r>
      <w:r>
        <w:rPr>
          <w:rFonts w:ascii="Arial" w:hAnsi="Arial" w:cs="Arial"/>
          <w:shd w:val="clear" w:color="auto" w:fill="FFFFFF"/>
        </w:rPr>
        <w:t>y el planetario con una</w:t>
      </w:r>
      <w:r w:rsidRPr="004C5722">
        <w:rPr>
          <w:rFonts w:ascii="Arial" w:hAnsi="Arial" w:cs="Arial"/>
          <w:shd w:val="clear" w:color="auto" w:fill="FFFFFF"/>
        </w:rPr>
        <w:t xml:space="preserve"> pantalla de 18 metros</w:t>
      </w:r>
      <w:r w:rsidR="001F463E">
        <w:rPr>
          <w:rFonts w:ascii="Arial" w:hAnsi="Arial" w:cs="Arial"/>
          <w:shd w:val="clear" w:color="auto" w:fill="FFFFFF"/>
        </w:rPr>
        <w:t>,</w:t>
      </w:r>
      <w:r w:rsidRPr="004C5722">
        <w:rPr>
          <w:rFonts w:ascii="Arial" w:hAnsi="Arial" w:cs="Arial"/>
          <w:shd w:val="clear" w:color="auto" w:fill="FFFFFF"/>
        </w:rPr>
        <w:t xml:space="preserve"> de 360 y 180 grados</w:t>
      </w:r>
      <w:r w:rsidR="001F463E">
        <w:rPr>
          <w:rFonts w:ascii="Arial" w:hAnsi="Arial" w:cs="Arial"/>
          <w:shd w:val="clear" w:color="auto" w:fill="FFFFFF"/>
        </w:rPr>
        <w:t>.</w:t>
      </w:r>
    </w:p>
    <w:p w14:paraId="1A166F03" w14:textId="77777777" w:rsidR="004C5722" w:rsidRDefault="004C5722" w:rsidP="000C526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4C5722">
        <w:rPr>
          <w:rFonts w:ascii="Arial" w:hAnsi="Arial" w:cs="Arial"/>
          <w:shd w:val="clear" w:color="auto" w:fill="FFFFFF"/>
        </w:rPr>
        <w:t>A</w:t>
      </w:r>
      <w:r w:rsidR="001F463E">
        <w:rPr>
          <w:rFonts w:ascii="Arial" w:hAnsi="Arial" w:cs="Arial"/>
          <w:shd w:val="clear" w:color="auto" w:fill="FFFFFF"/>
        </w:rPr>
        <w:t>simismo, el titular del E</w:t>
      </w:r>
      <w:r w:rsidR="002A6688">
        <w:rPr>
          <w:rFonts w:ascii="Arial" w:hAnsi="Arial" w:cs="Arial"/>
          <w:shd w:val="clear" w:color="auto" w:fill="FFFFFF"/>
        </w:rPr>
        <w:t>jecutivo, acompañado de los secretarios de Obra Pública, Cultura</w:t>
      </w:r>
      <w:r w:rsidR="002A6688" w:rsidRPr="004C5722">
        <w:rPr>
          <w:rFonts w:ascii="Arial" w:hAnsi="Arial" w:cs="Arial"/>
          <w:shd w:val="clear" w:color="auto" w:fill="FFFFFF"/>
        </w:rPr>
        <w:t xml:space="preserve"> </w:t>
      </w:r>
      <w:r w:rsidR="002A6688">
        <w:rPr>
          <w:rFonts w:ascii="Arial" w:hAnsi="Arial" w:cs="Arial"/>
          <w:shd w:val="clear" w:color="auto" w:fill="FFFFFF"/>
        </w:rPr>
        <w:t>y Turismo, Rafael Díaz, Marcela González y Evelyn Osornio, respectivamente , a</w:t>
      </w:r>
      <w:r w:rsidRPr="004C5722">
        <w:rPr>
          <w:rFonts w:ascii="Arial" w:hAnsi="Arial" w:cs="Arial"/>
          <w:shd w:val="clear" w:color="auto" w:fill="FFFFFF"/>
        </w:rPr>
        <w:t xml:space="preserve">gradeció el apoyo y respaldo </w:t>
      </w:r>
      <w:r w:rsidR="000C526D">
        <w:rPr>
          <w:rFonts w:ascii="Arial" w:hAnsi="Arial" w:cs="Arial"/>
          <w:shd w:val="clear" w:color="auto" w:fill="FFFFFF"/>
        </w:rPr>
        <w:t>del alcalde</w:t>
      </w:r>
      <w:r w:rsidR="002A6688">
        <w:rPr>
          <w:rFonts w:ascii="Arial" w:hAnsi="Arial" w:cs="Arial"/>
          <w:shd w:val="clear" w:color="auto" w:fill="FFFFFF"/>
        </w:rPr>
        <w:t xml:space="preserve"> Juan Rodolfo</w:t>
      </w:r>
      <w:r w:rsidR="001F463E">
        <w:rPr>
          <w:rFonts w:ascii="Arial" w:hAnsi="Arial" w:cs="Arial"/>
          <w:shd w:val="clear" w:color="auto" w:fill="FFFFFF"/>
        </w:rPr>
        <w:t xml:space="preserve"> Sánchez</w:t>
      </w:r>
      <w:r w:rsidR="002A6688">
        <w:rPr>
          <w:rFonts w:ascii="Arial" w:hAnsi="Arial" w:cs="Arial"/>
          <w:shd w:val="clear" w:color="auto" w:fill="FFFFFF"/>
        </w:rPr>
        <w:t>,</w:t>
      </w:r>
      <w:r w:rsidR="000C526D">
        <w:rPr>
          <w:rFonts w:ascii="Arial" w:hAnsi="Arial" w:cs="Arial"/>
          <w:shd w:val="clear" w:color="auto" w:fill="FFFFFF"/>
        </w:rPr>
        <w:t xml:space="preserve"> ya que “hemos trabajado d</w:t>
      </w:r>
      <w:r w:rsidRPr="004C5722">
        <w:rPr>
          <w:rFonts w:ascii="Arial" w:hAnsi="Arial" w:cs="Arial"/>
          <w:shd w:val="clear" w:color="auto" w:fill="FFFFFF"/>
        </w:rPr>
        <w:t>e</w:t>
      </w:r>
      <w:r w:rsidR="000C526D">
        <w:rPr>
          <w:rFonts w:ascii="Arial" w:hAnsi="Arial" w:cs="Arial"/>
          <w:shd w:val="clear" w:color="auto" w:fill="FFFFFF"/>
        </w:rPr>
        <w:t xml:space="preserve"> la mano </w:t>
      </w:r>
      <w:r w:rsidRPr="004C5722">
        <w:rPr>
          <w:rFonts w:ascii="Arial" w:hAnsi="Arial" w:cs="Arial"/>
          <w:shd w:val="clear" w:color="auto" w:fill="FFFFFF"/>
        </w:rPr>
        <w:t>e</w:t>
      </w:r>
      <w:r w:rsidR="000C526D">
        <w:rPr>
          <w:rFonts w:ascii="Arial" w:hAnsi="Arial" w:cs="Arial"/>
          <w:shd w:val="clear" w:color="auto" w:fill="FFFFFF"/>
        </w:rPr>
        <w:t>n</w:t>
      </w:r>
      <w:r w:rsidRPr="004C5722">
        <w:rPr>
          <w:rFonts w:ascii="Arial" w:hAnsi="Arial" w:cs="Arial"/>
          <w:shd w:val="clear" w:color="auto" w:fill="FFFFFF"/>
        </w:rPr>
        <w:t xml:space="preserve"> todos estos proyectos que serán de beneficio para</w:t>
      </w:r>
      <w:r w:rsidR="000C526D">
        <w:rPr>
          <w:rFonts w:ascii="Arial" w:hAnsi="Arial" w:cs="Arial"/>
          <w:shd w:val="clear" w:color="auto" w:fill="FFFFFF"/>
        </w:rPr>
        <w:t xml:space="preserve"> todo el estado</w:t>
      </w:r>
      <w:r w:rsidR="001F463E">
        <w:rPr>
          <w:rFonts w:ascii="Arial" w:hAnsi="Arial" w:cs="Arial"/>
          <w:shd w:val="clear" w:color="auto" w:fill="FFFFFF"/>
        </w:rPr>
        <w:t>,</w:t>
      </w:r>
      <w:r w:rsidR="000C526D">
        <w:rPr>
          <w:rFonts w:ascii="Arial" w:hAnsi="Arial" w:cs="Arial"/>
          <w:shd w:val="clear" w:color="auto" w:fill="FFFFFF"/>
        </w:rPr>
        <w:t xml:space="preserve"> pero en especial para las familias del Valle de Toluca</w:t>
      </w:r>
      <w:r w:rsidR="001F463E">
        <w:rPr>
          <w:rFonts w:ascii="Arial" w:hAnsi="Arial" w:cs="Arial"/>
          <w:shd w:val="clear" w:color="auto" w:fill="FFFFFF"/>
        </w:rPr>
        <w:t>,</w:t>
      </w:r>
      <w:r w:rsidR="000C526D">
        <w:rPr>
          <w:rFonts w:ascii="Arial" w:hAnsi="Arial" w:cs="Arial"/>
          <w:shd w:val="clear" w:color="auto" w:fill="FFFFFF"/>
        </w:rPr>
        <w:t xml:space="preserve"> que t</w:t>
      </w:r>
      <w:r w:rsidR="001F463E">
        <w:rPr>
          <w:rFonts w:ascii="Arial" w:hAnsi="Arial" w:cs="Arial"/>
          <w:shd w:val="clear" w:color="auto" w:fill="FFFFFF"/>
        </w:rPr>
        <w:t>endrán la oportunidad de contar</w:t>
      </w:r>
      <w:r w:rsidR="000C526D">
        <w:rPr>
          <w:rFonts w:ascii="Arial" w:hAnsi="Arial" w:cs="Arial"/>
          <w:shd w:val="clear" w:color="auto" w:fill="FFFFFF"/>
        </w:rPr>
        <w:t xml:space="preserve"> con este gran espacio que</w:t>
      </w:r>
      <w:r w:rsidRPr="004C5722">
        <w:rPr>
          <w:rFonts w:ascii="Arial" w:hAnsi="Arial" w:cs="Arial"/>
          <w:shd w:val="clear" w:color="auto" w:fill="FFFFFF"/>
        </w:rPr>
        <w:t xml:space="preserve"> implica un esfuerzo importante </w:t>
      </w:r>
      <w:r w:rsidR="000C526D">
        <w:rPr>
          <w:rFonts w:ascii="Arial" w:hAnsi="Arial" w:cs="Arial"/>
          <w:shd w:val="clear" w:color="auto" w:fill="FFFFFF"/>
        </w:rPr>
        <w:t xml:space="preserve">y </w:t>
      </w:r>
      <w:r w:rsidRPr="004C5722">
        <w:rPr>
          <w:rFonts w:ascii="Arial" w:hAnsi="Arial" w:cs="Arial"/>
          <w:shd w:val="clear" w:color="auto" w:fill="FFFFFF"/>
        </w:rPr>
        <w:t>una</w:t>
      </w:r>
      <w:r w:rsidR="000C526D">
        <w:rPr>
          <w:rFonts w:ascii="Arial" w:hAnsi="Arial" w:cs="Arial"/>
          <w:shd w:val="clear" w:color="auto" w:fill="FFFFFF"/>
        </w:rPr>
        <w:t xml:space="preserve"> gran inversión”. </w:t>
      </w:r>
    </w:p>
    <w:p w14:paraId="69AD9510" w14:textId="77777777" w:rsidR="004C5722" w:rsidRPr="004C5722" w:rsidRDefault="002A6688" w:rsidP="002A668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Como se busca que las familias </w:t>
      </w:r>
      <w:r w:rsidR="004C5722" w:rsidRPr="004C5722">
        <w:rPr>
          <w:rFonts w:ascii="Arial" w:hAnsi="Arial" w:cs="Arial"/>
          <w:shd w:val="clear" w:color="auto" w:fill="FFFFFF"/>
        </w:rPr>
        <w:t xml:space="preserve">adopten </w:t>
      </w:r>
      <w:r>
        <w:rPr>
          <w:rFonts w:ascii="Arial" w:hAnsi="Arial" w:cs="Arial"/>
          <w:shd w:val="clear" w:color="auto" w:fill="FFFFFF"/>
        </w:rPr>
        <w:t>este espacio de</w:t>
      </w:r>
      <w:r w:rsidR="004C5722" w:rsidRPr="004C5722">
        <w:rPr>
          <w:rFonts w:ascii="Arial" w:hAnsi="Arial" w:cs="Arial"/>
          <w:shd w:val="clear" w:color="auto" w:fill="FFFFFF"/>
        </w:rPr>
        <w:t xml:space="preserve"> conviv</w:t>
      </w:r>
      <w:r>
        <w:rPr>
          <w:rFonts w:ascii="Arial" w:hAnsi="Arial" w:cs="Arial"/>
          <w:shd w:val="clear" w:color="auto" w:fill="FFFFFF"/>
        </w:rPr>
        <w:t>encia,</w:t>
      </w:r>
      <w:r w:rsidR="004C5722" w:rsidRPr="004C5722">
        <w:rPr>
          <w:rFonts w:ascii="Arial" w:hAnsi="Arial" w:cs="Arial"/>
          <w:shd w:val="clear" w:color="auto" w:fill="FFFFFF"/>
        </w:rPr>
        <w:t xml:space="preserve"> se lanzará una con</w:t>
      </w:r>
      <w:r>
        <w:rPr>
          <w:rFonts w:ascii="Arial" w:hAnsi="Arial" w:cs="Arial"/>
          <w:shd w:val="clear" w:color="auto" w:fill="FFFFFF"/>
        </w:rPr>
        <w:t>vocatoria para ponerle nombre</w:t>
      </w:r>
      <w:r w:rsidR="001F463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ya </w:t>
      </w:r>
      <w:r w:rsidR="004C5722" w:rsidRPr="004C5722">
        <w:rPr>
          <w:rFonts w:ascii="Arial" w:hAnsi="Arial" w:cs="Arial"/>
          <w:shd w:val="clear" w:color="auto" w:fill="FFFFFF"/>
        </w:rPr>
        <w:t xml:space="preserve">que </w:t>
      </w:r>
      <w:r w:rsidR="001F463E">
        <w:rPr>
          <w:rFonts w:ascii="Arial" w:hAnsi="Arial" w:cs="Arial"/>
          <w:shd w:val="clear" w:color="auto" w:fill="FFFFFF"/>
        </w:rPr>
        <w:t xml:space="preserve">el objetivo es que sea símbolo de </w:t>
      </w:r>
      <w:r w:rsidR="004C5722" w:rsidRPr="004C5722">
        <w:rPr>
          <w:rFonts w:ascii="Arial" w:hAnsi="Arial" w:cs="Arial"/>
          <w:shd w:val="clear" w:color="auto" w:fill="FFFFFF"/>
        </w:rPr>
        <w:t>unión</w:t>
      </w:r>
      <w:r>
        <w:rPr>
          <w:rFonts w:ascii="Arial" w:hAnsi="Arial" w:cs="Arial"/>
          <w:shd w:val="clear" w:color="auto" w:fill="FFFFFF"/>
        </w:rPr>
        <w:t xml:space="preserve"> </w:t>
      </w:r>
      <w:r w:rsidR="001F463E">
        <w:rPr>
          <w:rFonts w:ascii="Arial" w:hAnsi="Arial" w:cs="Arial"/>
          <w:shd w:val="clear" w:color="auto" w:fill="FFFFFF"/>
        </w:rPr>
        <w:t>en</w:t>
      </w:r>
      <w:r>
        <w:rPr>
          <w:rFonts w:ascii="Arial" w:hAnsi="Arial" w:cs="Arial"/>
          <w:shd w:val="clear" w:color="auto" w:fill="FFFFFF"/>
        </w:rPr>
        <w:t xml:space="preserve"> el Estado de México, </w:t>
      </w:r>
      <w:r w:rsidR="001F463E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 convivencia familiar, riqueza cultural y la fortaleza de la capital, Toluca. </w:t>
      </w:r>
    </w:p>
    <w:p w14:paraId="433C71E3" w14:textId="77777777" w:rsidR="004C5722" w:rsidRPr="004C5722" w:rsidRDefault="004C5722" w:rsidP="004C572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0E9DA99" w14:textId="77777777" w:rsidR="004C5722" w:rsidRDefault="004C5722" w:rsidP="004C572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673DDD9" w14:textId="77777777" w:rsidR="004C5722" w:rsidRPr="008B1328" w:rsidRDefault="004C5722" w:rsidP="004C5722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</w:p>
    <w:p w14:paraId="4612A580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5463F268" w14:textId="78C38C58" w:rsidR="008B1328" w:rsidRPr="008B1328" w:rsidRDefault="0032309F" w:rsidP="00B93B90">
      <w:pPr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381F5A">
        <w:rPr>
          <w:rFonts w:ascii="Arial" w:eastAsia="Arial" w:hAnsi="Arial" w:cs="Arial"/>
          <w:b/>
          <w:highlight w:val="white"/>
        </w:rPr>
        <w:t>México. -</w:t>
      </w:r>
      <w:r>
        <w:rPr>
          <w:rFonts w:ascii="Arial" w:eastAsia="Arial" w:hAnsi="Arial" w:cs="Arial"/>
          <w:highlight w:val="white"/>
        </w:rPr>
        <w:t xml:space="preserve"> </w:t>
      </w:r>
      <w:r w:rsidR="00600BA6">
        <w:rPr>
          <w:rFonts w:ascii="Arial" w:hAnsi="Arial" w:cs="Arial"/>
          <w:shd w:val="clear" w:color="auto" w:fill="FFFFFF"/>
        </w:rPr>
        <w:t>Rumbo a la celebración de los 500 años de Toluca, el Centro Histórico dará la bienvenida a un nuevo espacio público vibrante, vanguardista y sustentable, en un parque público de 9 mil 300 metros cuadrados que generarán un pulmón verde para todo el Valle</w:t>
      </w:r>
      <w:r w:rsidR="00381F5A">
        <w:rPr>
          <w:rFonts w:ascii="Arial" w:hAnsi="Arial" w:cs="Arial"/>
          <w:shd w:val="clear" w:color="auto" w:fill="FFFFFF"/>
        </w:rPr>
        <w:t xml:space="preserve"> de Toluca</w:t>
      </w:r>
      <w:r w:rsidR="00600BA6">
        <w:rPr>
          <w:rFonts w:ascii="Arial" w:hAnsi="Arial" w:cs="Arial"/>
          <w:shd w:val="clear" w:color="auto" w:fill="FFFFFF"/>
        </w:rPr>
        <w:t xml:space="preserve"> y tendrá el primer Planetario de la entidad, único a nivel nacional por sus características tecnológicas y sus grandes dimensiones.</w:t>
      </w:r>
      <w:bookmarkEnd w:id="0"/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422D" w14:textId="77777777" w:rsidR="006230E2" w:rsidRDefault="006230E2" w:rsidP="008821FA">
      <w:r>
        <w:separator/>
      </w:r>
    </w:p>
  </w:endnote>
  <w:endnote w:type="continuationSeparator" w:id="0">
    <w:p w14:paraId="7E390B39" w14:textId="77777777" w:rsidR="006230E2" w:rsidRDefault="006230E2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8E5D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B368" w14:textId="77777777" w:rsidR="006230E2" w:rsidRDefault="006230E2" w:rsidP="008821FA">
      <w:r>
        <w:separator/>
      </w:r>
    </w:p>
  </w:footnote>
  <w:footnote w:type="continuationSeparator" w:id="0">
    <w:p w14:paraId="66739811" w14:textId="77777777" w:rsidR="006230E2" w:rsidRDefault="006230E2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A473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CCF9B07" wp14:editId="637B25F2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0C40A49A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6B9CEB" wp14:editId="696F9B57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9A74CBE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23803B2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59F28214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47751EDE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32E102C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492F6CE8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B9C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79A74CBE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23803B2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59F28214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47751EDE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32E102C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492F6CE8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F74CB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847A940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034FE1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04FD0B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66C617E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6E4F817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0E519D" w14:textId="77777777"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55DC3E8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50A2E"/>
    <w:rsid w:val="001535E4"/>
    <w:rsid w:val="00154D91"/>
    <w:rsid w:val="00156035"/>
    <w:rsid w:val="0015718D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63E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211E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1F5A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22E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2499"/>
    <w:rsid w:val="006230E2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57C63"/>
    <w:rsid w:val="00760522"/>
    <w:rsid w:val="00761786"/>
    <w:rsid w:val="00761E64"/>
    <w:rsid w:val="00763B89"/>
    <w:rsid w:val="00772807"/>
    <w:rsid w:val="007741E1"/>
    <w:rsid w:val="0078199C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3C9C"/>
    <w:rsid w:val="007C7848"/>
    <w:rsid w:val="007C7C08"/>
    <w:rsid w:val="007C7DE1"/>
    <w:rsid w:val="007D0CD0"/>
    <w:rsid w:val="007D24A2"/>
    <w:rsid w:val="007D4138"/>
    <w:rsid w:val="007D4B44"/>
    <w:rsid w:val="007E0F64"/>
    <w:rsid w:val="007E11AD"/>
    <w:rsid w:val="007E19C5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1328"/>
    <w:rsid w:val="008B6C04"/>
    <w:rsid w:val="008B7007"/>
    <w:rsid w:val="008C6E75"/>
    <w:rsid w:val="008C77D4"/>
    <w:rsid w:val="008D404D"/>
    <w:rsid w:val="008D46C5"/>
    <w:rsid w:val="008E506B"/>
    <w:rsid w:val="008F1EB0"/>
    <w:rsid w:val="008F224C"/>
    <w:rsid w:val="008F2C58"/>
    <w:rsid w:val="008F322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2192"/>
    <w:rsid w:val="00D451B1"/>
    <w:rsid w:val="00D453B1"/>
    <w:rsid w:val="00D46798"/>
    <w:rsid w:val="00D46A3A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4B66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14E8A"/>
  <w14:defaultImageDpi w14:val="300"/>
  <w15:chartTrackingRefBased/>
  <w15:docId w15:val="{3912D7A3-208A-455D-95E4-A34098B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4469-21DB-43C9-8694-23A37DCB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3</cp:revision>
  <dcterms:created xsi:type="dcterms:W3CDTF">2020-01-15T18:49:00Z</dcterms:created>
  <dcterms:modified xsi:type="dcterms:W3CDTF">2020-01-15T19:25:00Z</dcterms:modified>
</cp:coreProperties>
</file>