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B0" w:rsidRPr="003650B0" w:rsidRDefault="003650B0" w:rsidP="003650B0">
      <w:pPr>
        <w:jc w:val="right"/>
        <w:rPr>
          <w:rFonts w:ascii="Arial" w:eastAsia="Times New Roman" w:hAnsi="Arial" w:cs="Arial"/>
          <w:b/>
          <w:bCs/>
          <w:color w:val="808080" w:themeColor="background1" w:themeShade="80"/>
          <w:sz w:val="10"/>
          <w:szCs w:val="10"/>
          <w:lang w:val="es-ES_tradnl" w:eastAsia="es-MX"/>
        </w:rPr>
      </w:pPr>
    </w:p>
    <w:p w:rsidR="003650B0" w:rsidRPr="003650B0" w:rsidRDefault="003D5B8E" w:rsidP="003650B0">
      <w:pPr>
        <w:jc w:val="right"/>
        <w:rPr>
          <w:rFonts w:eastAsia="Times New Roman"/>
          <w:color w:val="808080" w:themeColor="background1" w:themeShade="80"/>
          <w:lang w:eastAsia="es-MX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lang w:val="es-ES_tradnl" w:eastAsia="es-MX"/>
        </w:rPr>
        <w:t>Comunicado Núm. 0432/</w:t>
      </w:r>
      <w:r w:rsidR="003650B0" w:rsidRPr="003650B0">
        <w:rPr>
          <w:rFonts w:ascii="Arial" w:eastAsia="Times New Roman" w:hAnsi="Arial" w:cs="Arial"/>
          <w:b/>
          <w:bCs/>
          <w:color w:val="808080" w:themeColor="background1" w:themeShade="80"/>
          <w:lang w:val="es-ES_tradnl" w:eastAsia="es-MX"/>
        </w:rPr>
        <w:t>2020</w:t>
      </w:r>
    </w:p>
    <w:p w:rsidR="003650B0" w:rsidRPr="003650B0" w:rsidRDefault="003650B0" w:rsidP="003650B0">
      <w:pPr>
        <w:jc w:val="center"/>
        <w:rPr>
          <w:rFonts w:eastAsia="Times New Roman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lang w:val="es-ES_tradnl" w:eastAsia="es-MX"/>
        </w:rPr>
        <w:t> </w:t>
      </w:r>
    </w:p>
    <w:p w:rsidR="003650B0" w:rsidRDefault="003650B0" w:rsidP="003650B0">
      <w:pPr>
        <w:jc w:val="center"/>
        <w:rPr>
          <w:rFonts w:eastAsia="Times New Roman"/>
          <w:lang w:eastAsia="es-MX"/>
        </w:rPr>
      </w:pPr>
      <w:r>
        <w:rPr>
          <w:rFonts w:ascii="Arial" w:eastAsia="Times New Roman" w:hAnsi="Arial" w:cs="Arial"/>
          <w:b/>
          <w:bCs/>
          <w:lang w:val="es-ES_tradnl" w:eastAsia="es-MX"/>
        </w:rPr>
        <w:t xml:space="preserve">Reabre Toluca oficina de Tesorería Municipal en Los Portales </w:t>
      </w:r>
    </w:p>
    <w:p w:rsidR="003650B0" w:rsidRDefault="003650B0" w:rsidP="003650B0">
      <w:pPr>
        <w:jc w:val="center"/>
        <w:rPr>
          <w:rFonts w:eastAsia="Times New Roman"/>
          <w:lang w:eastAsia="es-MX"/>
        </w:rPr>
      </w:pPr>
      <w:r>
        <w:rPr>
          <w:rFonts w:ascii="Arial" w:eastAsia="Times New Roman" w:hAnsi="Arial" w:cs="Arial"/>
          <w:b/>
          <w:bCs/>
          <w:lang w:val="es-ES_tradnl" w:eastAsia="es-MX"/>
        </w:rPr>
        <w:t> </w:t>
      </w:r>
    </w:p>
    <w:p w:rsidR="003650B0" w:rsidRDefault="003650B0" w:rsidP="003650B0">
      <w:pPr>
        <w:spacing w:line="360" w:lineRule="auto"/>
        <w:jc w:val="both"/>
        <w:rPr>
          <w:rFonts w:eastAsia="Times New Roman"/>
          <w:lang w:eastAsia="es-MX"/>
        </w:rPr>
      </w:pPr>
      <w:r w:rsidRPr="003650B0">
        <w:rPr>
          <w:rFonts w:ascii="Arial" w:eastAsia="Times New Roman" w:hAnsi="Arial" w:cs="Arial"/>
          <w:b/>
          <w:bCs/>
          <w:lang w:val="es-ES_tradnl" w:eastAsia="es-MX"/>
        </w:rPr>
        <w:t>Toluca, Estado de México, jueves 16 de julio de 2020.-</w:t>
      </w:r>
      <w:r w:rsidRPr="003650B0">
        <w:rPr>
          <w:rFonts w:ascii="Arial" w:eastAsia="Times New Roman" w:hAnsi="Arial" w:cs="Arial"/>
          <w:lang w:val="es-ES_tradnl" w:eastAsia="es-MX"/>
        </w:rPr>
        <w:t xml:space="preserve"> </w:t>
      </w:r>
      <w:r>
        <w:rPr>
          <w:rFonts w:ascii="Arial" w:eastAsia="Times New Roman" w:hAnsi="Arial" w:cs="Arial"/>
          <w:lang w:val="es-ES_tradnl" w:eastAsia="es-MX"/>
        </w:rPr>
        <w:t>La oficina comercial de la Tesorería Municipal de Toluca reabrió sus puertas, con el propósito de que los contribuyentes acudan a realizar el pago del impuesto predial y d</w:t>
      </w:r>
      <w:r w:rsidR="0004084F">
        <w:rPr>
          <w:rFonts w:ascii="Arial" w:eastAsia="Times New Roman" w:hAnsi="Arial" w:cs="Arial"/>
          <w:lang w:val="es-ES_tradnl" w:eastAsia="es-MX"/>
        </w:rPr>
        <w:t>el servicio de agua potable.</w:t>
      </w:r>
      <w:bookmarkStart w:id="0" w:name="_GoBack"/>
      <w:bookmarkEnd w:id="0"/>
    </w:p>
    <w:p w:rsidR="003650B0" w:rsidRDefault="003650B0" w:rsidP="003650B0">
      <w:pPr>
        <w:spacing w:line="360" w:lineRule="auto"/>
        <w:ind w:firstLine="708"/>
        <w:jc w:val="both"/>
        <w:rPr>
          <w:rFonts w:eastAsia="Times New Roman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t>La contingencia</w:t>
      </w:r>
      <w:r w:rsidR="0004084F">
        <w:rPr>
          <w:rFonts w:ascii="Arial" w:eastAsia="Times New Roman" w:hAnsi="Arial" w:cs="Arial"/>
          <w:lang w:val="es-ES_tradnl" w:eastAsia="es-MX"/>
        </w:rPr>
        <w:t xml:space="preserve"> sanitaria por el COVID-19 determinó</w:t>
      </w:r>
      <w:r>
        <w:rPr>
          <w:rFonts w:ascii="Arial" w:eastAsia="Times New Roman" w:hAnsi="Arial" w:cs="Arial"/>
          <w:lang w:val="es-ES_tradnl" w:eastAsia="es-MX"/>
        </w:rPr>
        <w:t xml:space="preserve"> la implementación de diversas medidas para incr</w:t>
      </w:r>
      <w:r w:rsidR="0004084F">
        <w:rPr>
          <w:rFonts w:ascii="Arial" w:eastAsia="Times New Roman" w:hAnsi="Arial" w:cs="Arial"/>
          <w:lang w:val="es-ES_tradnl" w:eastAsia="es-MX"/>
        </w:rPr>
        <w:t>ementar la recaudación y evitar</w:t>
      </w:r>
      <w:r>
        <w:rPr>
          <w:rFonts w:ascii="Arial" w:eastAsia="Times New Roman" w:hAnsi="Arial" w:cs="Arial"/>
          <w:lang w:val="es-ES_tradnl" w:eastAsia="es-MX"/>
        </w:rPr>
        <w:t xml:space="preserve"> la concentración de personas, </w:t>
      </w:r>
      <w:r w:rsidR="0004084F">
        <w:rPr>
          <w:rFonts w:ascii="Arial" w:eastAsia="Times New Roman" w:hAnsi="Arial" w:cs="Arial"/>
          <w:lang w:val="es-ES_tradnl" w:eastAsia="es-MX"/>
        </w:rPr>
        <w:t>entre ellas realizar los pagos</w:t>
      </w:r>
      <w:r>
        <w:rPr>
          <w:rFonts w:ascii="Arial" w:eastAsia="Times New Roman" w:hAnsi="Arial" w:cs="Arial"/>
          <w:lang w:val="es-ES_tradnl" w:eastAsia="es-MX"/>
        </w:rPr>
        <w:t xml:space="preserve"> desde la comodidad de su casa al enviar un mensaje de </w:t>
      </w:r>
      <w:proofErr w:type="spellStart"/>
      <w:r>
        <w:rPr>
          <w:rFonts w:ascii="Arial" w:eastAsia="Times New Roman" w:hAnsi="Arial" w:cs="Arial"/>
          <w:lang w:val="es-ES_tradnl" w:eastAsia="es-MX"/>
        </w:rPr>
        <w:t>whatsapp</w:t>
      </w:r>
      <w:proofErr w:type="spellEnd"/>
      <w:r>
        <w:rPr>
          <w:rFonts w:ascii="Arial" w:eastAsia="Times New Roman" w:hAnsi="Arial" w:cs="Arial"/>
          <w:lang w:val="es-ES_tradnl" w:eastAsia="es-MX"/>
        </w:rPr>
        <w:t>, o bien un correo electrónic</w:t>
      </w:r>
      <w:r w:rsidR="0004084F">
        <w:rPr>
          <w:rFonts w:ascii="Arial" w:eastAsia="Times New Roman" w:hAnsi="Arial" w:cs="Arial"/>
          <w:lang w:val="es-ES_tradnl" w:eastAsia="es-MX"/>
        </w:rPr>
        <w:t>o, para conocer el monto</w:t>
      </w:r>
      <w:r>
        <w:rPr>
          <w:rFonts w:ascii="Arial" w:eastAsia="Times New Roman" w:hAnsi="Arial" w:cs="Arial"/>
          <w:lang w:val="es-ES_tradnl" w:eastAsia="es-MX"/>
        </w:rPr>
        <w:t xml:space="preserve"> dependiendo del impuesto. </w:t>
      </w:r>
    </w:p>
    <w:p w:rsidR="003650B0" w:rsidRDefault="003650B0" w:rsidP="003650B0">
      <w:pPr>
        <w:spacing w:line="360" w:lineRule="auto"/>
        <w:ind w:firstLine="708"/>
        <w:jc w:val="both"/>
        <w:rPr>
          <w:rFonts w:eastAsia="Times New Roman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t xml:space="preserve">Sin embargo, una parte de la población prefiere hacerlo de manera presencial, por </w:t>
      </w:r>
      <w:r w:rsidR="0004084F">
        <w:rPr>
          <w:rFonts w:ascii="Arial" w:eastAsia="Times New Roman" w:hAnsi="Arial" w:cs="Arial"/>
          <w:lang w:val="es-ES_tradnl" w:eastAsia="es-MX"/>
        </w:rPr>
        <w:t>lo que podrán llevar a cabo este trámite</w:t>
      </w:r>
      <w:r>
        <w:rPr>
          <w:rFonts w:ascii="Arial" w:eastAsia="Times New Roman" w:hAnsi="Arial" w:cs="Arial"/>
          <w:lang w:val="es-ES_tradnl" w:eastAsia="es-MX"/>
        </w:rPr>
        <w:t xml:space="preserve"> en la oficina ubicada en Plaza Fray Andrés de Castro Edificio “A” (a un costado de la iglesia </w:t>
      </w:r>
      <w:r w:rsidR="0004084F">
        <w:rPr>
          <w:rFonts w:ascii="Arial" w:eastAsia="Times New Roman" w:hAnsi="Arial" w:cs="Arial"/>
          <w:lang w:val="es-ES_tradnl" w:eastAsia="es-MX"/>
        </w:rPr>
        <w:t xml:space="preserve">de la </w:t>
      </w:r>
      <w:r>
        <w:rPr>
          <w:rFonts w:ascii="Arial" w:eastAsia="Times New Roman" w:hAnsi="Arial" w:cs="Arial"/>
          <w:lang w:val="es-ES_tradnl" w:eastAsia="es-MX"/>
        </w:rPr>
        <w:t xml:space="preserve">Santa Veracruz) en horario de 9:00 a 15:00 horas, respetando las recomendaciones sanitarias: uso de </w:t>
      </w:r>
      <w:proofErr w:type="spellStart"/>
      <w:r>
        <w:rPr>
          <w:rFonts w:ascii="Arial" w:eastAsia="Times New Roman" w:hAnsi="Arial" w:cs="Arial"/>
          <w:lang w:val="es-ES_tradnl" w:eastAsia="es-MX"/>
        </w:rPr>
        <w:t>cubrebocas</w:t>
      </w:r>
      <w:proofErr w:type="spellEnd"/>
      <w:r>
        <w:rPr>
          <w:rFonts w:ascii="Arial" w:eastAsia="Times New Roman" w:hAnsi="Arial" w:cs="Arial"/>
          <w:lang w:val="es-ES_tradnl" w:eastAsia="es-MX"/>
        </w:rPr>
        <w:t xml:space="preserve"> y gel  </w:t>
      </w:r>
      <w:proofErr w:type="spellStart"/>
      <w:r>
        <w:rPr>
          <w:rFonts w:ascii="Arial" w:eastAsia="Times New Roman" w:hAnsi="Arial" w:cs="Arial"/>
          <w:lang w:val="es-ES_tradnl" w:eastAsia="es-MX"/>
        </w:rPr>
        <w:t>antibac</w:t>
      </w:r>
      <w:r w:rsidR="0004084F">
        <w:rPr>
          <w:rFonts w:ascii="Arial" w:eastAsia="Times New Roman" w:hAnsi="Arial" w:cs="Arial"/>
          <w:lang w:val="es-ES_tradnl" w:eastAsia="es-MX"/>
        </w:rPr>
        <w:t>terial</w:t>
      </w:r>
      <w:proofErr w:type="spellEnd"/>
      <w:r w:rsidR="0004084F">
        <w:rPr>
          <w:rFonts w:ascii="Arial" w:eastAsia="Times New Roman" w:hAnsi="Arial" w:cs="Arial"/>
          <w:lang w:val="es-ES_tradnl" w:eastAsia="es-MX"/>
        </w:rPr>
        <w:t>, una persona por familia y la</w:t>
      </w:r>
      <w:r>
        <w:rPr>
          <w:rFonts w:ascii="Arial" w:eastAsia="Times New Roman" w:hAnsi="Arial" w:cs="Arial"/>
          <w:lang w:val="es-ES_tradnl" w:eastAsia="es-MX"/>
        </w:rPr>
        <w:t xml:space="preserve"> sana distancia entre contribuyentes. </w:t>
      </w:r>
    </w:p>
    <w:p w:rsidR="003650B0" w:rsidRDefault="003650B0" w:rsidP="003650B0">
      <w:pPr>
        <w:spacing w:line="360" w:lineRule="auto"/>
        <w:ind w:firstLine="708"/>
        <w:jc w:val="both"/>
        <w:rPr>
          <w:rFonts w:eastAsia="Times New Roman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t>Cabe mencionar que ante la contingencia sanitaria por COVID-19 el gobierno</w:t>
      </w:r>
      <w:r w:rsidR="0004084F">
        <w:rPr>
          <w:rFonts w:ascii="Arial" w:eastAsia="Times New Roman" w:hAnsi="Arial" w:cs="Arial"/>
          <w:lang w:val="es-ES_tradnl" w:eastAsia="es-MX"/>
        </w:rPr>
        <w:t xml:space="preserve"> de la capital, que preside el alcalde</w:t>
      </w:r>
      <w:r>
        <w:rPr>
          <w:rFonts w:ascii="Arial" w:eastAsia="Times New Roman" w:hAnsi="Arial" w:cs="Arial"/>
          <w:lang w:val="es-ES_tradnl" w:eastAsia="es-MX"/>
        </w:rPr>
        <w:t xml:space="preserve"> Juan Rodolfo Sánchez Gómez, tomó la decisión de implementar un</w:t>
      </w:r>
      <w:r w:rsidR="0004084F">
        <w:rPr>
          <w:rFonts w:ascii="Arial" w:eastAsia="Times New Roman" w:hAnsi="Arial" w:cs="Arial"/>
          <w:lang w:val="es-ES_tradnl" w:eastAsia="es-MX"/>
        </w:rPr>
        <w:t>a campaña de bonificación, desde el pasado mes de marzo,</w:t>
      </w:r>
      <w:r>
        <w:rPr>
          <w:rFonts w:ascii="Arial" w:eastAsia="Times New Roman" w:hAnsi="Arial" w:cs="Arial"/>
          <w:lang w:val="es-ES_tradnl" w:eastAsia="es-MX"/>
        </w:rPr>
        <w:t xml:space="preserve"> en beneficio de</w:t>
      </w:r>
      <w:r w:rsidR="0004084F">
        <w:rPr>
          <w:rFonts w:ascii="Arial" w:eastAsia="Times New Roman" w:hAnsi="Arial" w:cs="Arial"/>
          <w:lang w:val="es-ES_tradnl" w:eastAsia="es-MX"/>
        </w:rPr>
        <w:t xml:space="preserve"> </w:t>
      </w:r>
      <w:r>
        <w:rPr>
          <w:rFonts w:ascii="Arial" w:eastAsia="Times New Roman" w:hAnsi="Arial" w:cs="Arial"/>
          <w:lang w:val="es-ES_tradnl" w:eastAsia="es-MX"/>
        </w:rPr>
        <w:t>l</w:t>
      </w:r>
      <w:r w:rsidR="0004084F">
        <w:rPr>
          <w:rFonts w:ascii="Arial" w:eastAsia="Times New Roman" w:hAnsi="Arial" w:cs="Arial"/>
          <w:lang w:val="es-ES_tradnl" w:eastAsia="es-MX"/>
        </w:rPr>
        <w:t>a economía de los toluqueños.</w:t>
      </w:r>
    </w:p>
    <w:p w:rsidR="003650B0" w:rsidRPr="00F95EC4" w:rsidRDefault="003650B0" w:rsidP="00F95EC4">
      <w:pPr>
        <w:spacing w:line="360" w:lineRule="auto"/>
        <w:ind w:firstLine="708"/>
        <w:jc w:val="both"/>
        <w:rPr>
          <w:rFonts w:ascii="Arial" w:hAnsi="Arial" w:cs="Arial"/>
          <w:color w:val="1D2228"/>
          <w:shd w:val="clear" w:color="auto" w:fill="FFFFFF"/>
        </w:rPr>
      </w:pPr>
      <w:r>
        <w:rPr>
          <w:rFonts w:ascii="Arial" w:eastAsia="Times New Roman" w:hAnsi="Arial" w:cs="Arial"/>
          <w:lang w:val="es-ES_tradnl" w:eastAsia="es-MX"/>
        </w:rPr>
        <w:t xml:space="preserve">Entre los impuestos y derechos con bonificación destacan </w:t>
      </w:r>
      <w:r w:rsidR="00EF7A19">
        <w:rPr>
          <w:rFonts w:ascii="Arial" w:eastAsia="Times New Roman" w:hAnsi="Arial" w:cs="Arial"/>
          <w:lang w:val="es-ES_tradnl" w:eastAsia="es-MX"/>
        </w:rPr>
        <w:t>el</w:t>
      </w:r>
      <w:r>
        <w:rPr>
          <w:rFonts w:ascii="Arial" w:eastAsia="Times New Roman" w:hAnsi="Arial" w:cs="Arial"/>
          <w:lang w:val="es-ES_tradnl" w:eastAsia="es-MX"/>
        </w:rPr>
        <w:t xml:space="preserve"> de</w:t>
      </w:r>
      <w:r w:rsidR="00EF7A19">
        <w:rPr>
          <w:rFonts w:ascii="Arial" w:eastAsia="Times New Roman" w:hAnsi="Arial" w:cs="Arial"/>
          <w:lang w:val="es-ES_tradnl" w:eastAsia="es-MX"/>
        </w:rPr>
        <w:t>l</w:t>
      </w:r>
      <w:r>
        <w:rPr>
          <w:rFonts w:ascii="Arial" w:eastAsia="Times New Roman" w:hAnsi="Arial" w:cs="Arial"/>
          <w:lang w:val="es-ES_tradnl" w:eastAsia="es-MX"/>
        </w:rPr>
        <w:t> pre</w:t>
      </w:r>
      <w:r w:rsidR="00F95EC4">
        <w:rPr>
          <w:rFonts w:ascii="Arial" w:eastAsia="Times New Roman" w:hAnsi="Arial" w:cs="Arial"/>
          <w:lang w:val="es-ES_tradnl" w:eastAsia="es-MX"/>
        </w:rPr>
        <w:t>dial, con 8%</w:t>
      </w:r>
      <w:r w:rsidR="00EF7A19">
        <w:rPr>
          <w:rFonts w:ascii="Arial" w:eastAsia="Times New Roman" w:hAnsi="Arial" w:cs="Arial"/>
          <w:lang w:val="es-ES_tradnl" w:eastAsia="es-MX"/>
        </w:rPr>
        <w:t xml:space="preserve"> hasta agosto</w:t>
      </w:r>
      <w:r w:rsidR="00F95EC4">
        <w:rPr>
          <w:rFonts w:ascii="Arial" w:eastAsia="Times New Roman" w:hAnsi="Arial" w:cs="Arial"/>
          <w:lang w:val="es-ES_tradnl" w:eastAsia="es-MX"/>
        </w:rPr>
        <w:t xml:space="preserve"> por pago anticipado correspondiente al año fiscal 2020 y de hasta el 98% a favor de</w:t>
      </w:r>
      <w:r>
        <w:rPr>
          <w:rFonts w:ascii="Arial" w:eastAsia="Times New Roman" w:hAnsi="Arial" w:cs="Arial"/>
          <w:lang w:val="es-ES_tradnl" w:eastAsia="es-MX"/>
        </w:rPr>
        <w:t xml:space="preserve"> propietarios o poseedores de predios destinados a actividades agropecuaria</w:t>
      </w:r>
      <w:r w:rsidR="00F95EC4">
        <w:rPr>
          <w:rFonts w:ascii="Arial" w:eastAsia="Times New Roman" w:hAnsi="Arial" w:cs="Arial"/>
          <w:lang w:val="es-ES_tradnl" w:eastAsia="es-MX"/>
        </w:rPr>
        <w:t>s, acuícolas y forestales.</w:t>
      </w:r>
    </w:p>
    <w:p w:rsidR="003650B0" w:rsidRDefault="003650B0" w:rsidP="003650B0">
      <w:pPr>
        <w:spacing w:line="360" w:lineRule="auto"/>
        <w:ind w:firstLine="708"/>
        <w:jc w:val="both"/>
        <w:rPr>
          <w:rFonts w:ascii="Times New Roman" w:eastAsia="Times New Roman" w:hAnsi="Times New Roman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lastRenderedPageBreak/>
        <w:t xml:space="preserve">Para los ejercicios fiscales 2019 y anteriores, </w:t>
      </w:r>
      <w:r w:rsidR="00F95EC4">
        <w:rPr>
          <w:rFonts w:ascii="Arial" w:eastAsia="Times New Roman" w:hAnsi="Arial" w:cs="Arial"/>
          <w:lang w:val="es-ES_tradnl" w:eastAsia="es-MX"/>
        </w:rPr>
        <w:t xml:space="preserve">las autoridades locales han determinado </w:t>
      </w:r>
      <w:r>
        <w:rPr>
          <w:rFonts w:ascii="Arial" w:eastAsia="Times New Roman" w:hAnsi="Arial" w:cs="Arial"/>
          <w:lang w:val="es-ES_tradnl" w:eastAsia="es-MX"/>
        </w:rPr>
        <w:t>un descuento de hasta el 90% por el periodo comprendido del 1 abril al 18 de diciembre de 2020.</w:t>
      </w:r>
    </w:p>
    <w:p w:rsidR="003650B0" w:rsidRDefault="003650B0" w:rsidP="003650B0">
      <w:pPr>
        <w:spacing w:line="360" w:lineRule="auto"/>
        <w:ind w:firstLine="708"/>
        <w:jc w:val="both"/>
        <w:rPr>
          <w:rFonts w:ascii="Times New Roman" w:eastAsia="Times New Roman" w:hAnsi="Times New Roman"/>
          <w:lang w:eastAsia="es-MX"/>
        </w:rPr>
      </w:pPr>
      <w:r>
        <w:rPr>
          <w:rFonts w:ascii="Arial" w:eastAsia="Times New Roman" w:hAnsi="Arial" w:cs="Arial"/>
          <w:lang w:eastAsia="es-MX"/>
        </w:rPr>
        <w:t>S</w:t>
      </w:r>
      <w:r>
        <w:rPr>
          <w:rFonts w:ascii="Arial" w:eastAsia="Times New Roman" w:hAnsi="Arial" w:cs="Arial"/>
          <w:lang w:val="es-ES_tradnl" w:eastAsia="es-MX"/>
        </w:rPr>
        <w:t>obre anuncios publicitarios, el 30% sobre el impuesto para los establecimientos que se den de alta durante el</w:t>
      </w:r>
      <w:r w:rsidR="00F95EC4">
        <w:rPr>
          <w:rFonts w:ascii="Arial" w:eastAsia="Times New Roman" w:hAnsi="Arial" w:cs="Arial"/>
          <w:lang w:val="es-ES_tradnl" w:eastAsia="es-MX"/>
        </w:rPr>
        <w:t xml:space="preserve"> periodo abril-septiembre; para el</w:t>
      </w:r>
      <w:r>
        <w:rPr>
          <w:rFonts w:ascii="Arial" w:eastAsia="Times New Roman" w:hAnsi="Arial" w:cs="Arial"/>
          <w:lang w:val="es-ES_tradnl" w:eastAsia="es-MX"/>
        </w:rPr>
        <w:t xml:space="preserve"> derecho de uso de vías y áreas públicas para el ejercicio de actividades comerciales y de servicios, la bonificación de hasta el 80% del 1 de abril al 18 de diciembre de este año.  </w:t>
      </w:r>
    </w:p>
    <w:p w:rsidR="003650B0" w:rsidRDefault="003650B0" w:rsidP="003650B0">
      <w:pPr>
        <w:spacing w:line="360" w:lineRule="auto"/>
        <w:ind w:firstLine="708"/>
        <w:jc w:val="both"/>
        <w:rPr>
          <w:rFonts w:ascii="Times New Roman" w:eastAsia="Times New Roman" w:hAnsi="Times New Roman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t xml:space="preserve">Respecto a la venta o arrendamiento de bienes municipales, se condonará hasta el 50% de la renta de los inmuebles propiedad del municipio para el ejercicio fiscal 2020, así como el 100% en sus accesorios legales causados sobre el total del adeudo presentado por el periodo comprendido de abril a septiembre. </w:t>
      </w:r>
    </w:p>
    <w:p w:rsidR="003650B0" w:rsidRDefault="003650B0" w:rsidP="003650B0">
      <w:pPr>
        <w:spacing w:line="360" w:lineRule="auto"/>
        <w:ind w:firstLine="708"/>
        <w:jc w:val="both"/>
        <w:rPr>
          <w:rFonts w:ascii="Times New Roman" w:eastAsia="Times New Roman" w:hAnsi="Times New Roman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t>Respecto al pago de derechos que presta el Organismo de Agua y Saneamiento de Toluca, a los usuarios que decidan realizar el pago por los meses restantes del 2020 recibirán un descuento del 20%, en tanto que a los usuarios que realicen el pa</w:t>
      </w:r>
      <w:r w:rsidR="00F95EC4">
        <w:rPr>
          <w:rFonts w:ascii="Arial" w:eastAsia="Times New Roman" w:hAnsi="Arial" w:cs="Arial"/>
          <w:lang w:val="es-ES_tradnl" w:eastAsia="es-MX"/>
        </w:rPr>
        <w:t>go de adeudos anteriores al año en curso</w:t>
      </w:r>
      <w:r>
        <w:rPr>
          <w:rFonts w:ascii="Arial" w:eastAsia="Times New Roman" w:hAnsi="Arial" w:cs="Arial"/>
          <w:lang w:val="es-ES_tradnl" w:eastAsia="es-MX"/>
        </w:rPr>
        <w:t xml:space="preserve"> recibirán la condonación de multas y recargos en un 100%, además de un descuento adicional de hasta el 20%.</w:t>
      </w:r>
    </w:p>
    <w:p w:rsidR="003650B0" w:rsidRDefault="003650B0" w:rsidP="003650B0">
      <w:pPr>
        <w:jc w:val="both"/>
        <w:rPr>
          <w:rFonts w:eastAsia="Times New Roman"/>
          <w:lang w:eastAsia="es-MX"/>
        </w:rPr>
      </w:pPr>
      <w:r>
        <w:rPr>
          <w:rFonts w:ascii="Arial" w:eastAsia="Times New Roman" w:hAnsi="Arial" w:cs="Arial"/>
          <w:lang w:val="es-ES_tradnl" w:eastAsia="es-MX"/>
        </w:rPr>
        <w:t> </w:t>
      </w:r>
    </w:p>
    <w:p w:rsidR="003650B0" w:rsidRDefault="003650B0" w:rsidP="003650B0">
      <w:pPr>
        <w:jc w:val="both"/>
        <w:rPr>
          <w:rFonts w:eastAsia="Times New Roman"/>
          <w:lang w:eastAsia="es-MX"/>
        </w:rPr>
      </w:pPr>
      <w:r>
        <w:rPr>
          <w:rFonts w:ascii="Arial" w:eastAsia="Times New Roman" w:hAnsi="Arial" w:cs="Arial"/>
          <w:b/>
          <w:bCs/>
          <w:lang w:val="es-ES_tradnl" w:eastAsia="es-MX"/>
        </w:rPr>
        <w:t> </w:t>
      </w:r>
    </w:p>
    <w:p w:rsidR="003650B0" w:rsidRDefault="003650B0" w:rsidP="003650B0">
      <w:pPr>
        <w:jc w:val="both"/>
        <w:rPr>
          <w:rFonts w:eastAsia="Times New Roman"/>
          <w:lang w:eastAsia="es-MX"/>
        </w:rPr>
      </w:pPr>
      <w:r>
        <w:rPr>
          <w:rFonts w:ascii="Arial" w:eastAsia="Times New Roman" w:hAnsi="Arial" w:cs="Arial"/>
          <w:b/>
          <w:bCs/>
          <w:lang w:val="es-ES_tradnl" w:eastAsia="es-MX"/>
        </w:rPr>
        <w:t>Pie de foto</w:t>
      </w:r>
    </w:p>
    <w:p w:rsidR="003650B0" w:rsidRDefault="003650B0" w:rsidP="00F95EC4">
      <w:pPr>
        <w:spacing w:line="276" w:lineRule="auto"/>
        <w:jc w:val="both"/>
        <w:rPr>
          <w:rFonts w:eastAsia="Times New Roman"/>
          <w:lang w:eastAsia="es-MX"/>
        </w:rPr>
      </w:pPr>
      <w:r>
        <w:rPr>
          <w:rFonts w:ascii="Arial" w:eastAsia="Times New Roman" w:hAnsi="Arial" w:cs="Arial"/>
          <w:b/>
          <w:bCs/>
          <w:lang w:val="es-ES_tradnl" w:eastAsia="es-MX"/>
        </w:rPr>
        <w:t xml:space="preserve">Toluca, México.- </w:t>
      </w:r>
      <w:r>
        <w:rPr>
          <w:rFonts w:ascii="Arial" w:eastAsia="Times New Roman" w:hAnsi="Arial" w:cs="Arial"/>
          <w:lang w:val="es-ES_tradnl" w:eastAsia="es-MX"/>
        </w:rPr>
        <w:t xml:space="preserve">La oficina comercial de la Tesorería Municipal de Toluca reabrió sus puertas para que los contribuyentes acudan a realizar el pago de su impuesto predial </w:t>
      </w:r>
      <w:r w:rsidR="00F95EC4">
        <w:rPr>
          <w:rFonts w:ascii="Arial" w:eastAsia="Times New Roman" w:hAnsi="Arial" w:cs="Arial"/>
          <w:lang w:val="es-ES_tradnl" w:eastAsia="es-MX"/>
        </w:rPr>
        <w:t>y el servicio de agua potable.</w:t>
      </w:r>
    </w:p>
    <w:p w:rsidR="003F0EBB" w:rsidRDefault="003F0EBB">
      <w:pPr>
        <w:jc w:val="both"/>
        <w:rPr>
          <w:rFonts w:ascii="Arial" w:eastAsia="Arial" w:hAnsi="Arial" w:cs="Arial"/>
          <w:highlight w:val="white"/>
        </w:rPr>
      </w:pPr>
    </w:p>
    <w:sectPr w:rsidR="003F0EBB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34" w:rsidRDefault="00D84034">
      <w:r>
        <w:separator/>
      </w:r>
    </w:p>
  </w:endnote>
  <w:endnote w:type="continuationSeparator" w:id="0">
    <w:p w:rsidR="00D84034" w:rsidRDefault="00D8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BB" w:rsidRDefault="00C54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34" w:rsidRDefault="00D84034">
      <w:r>
        <w:separator/>
      </w:r>
    </w:p>
  </w:footnote>
  <w:footnote w:type="continuationSeparator" w:id="0">
    <w:p w:rsidR="00D84034" w:rsidRDefault="00D8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BB" w:rsidRDefault="00C54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0EBB" w:rsidRDefault="00C54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C908DC" w:rsidRPr="009F5B8B" w:rsidRDefault="00D8403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C908DC" w:rsidRPr="009F5B8B" w:rsidRDefault="00C54BC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C908DC" w:rsidRDefault="00C54BC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C908DC" w:rsidRPr="009F5B8B" w:rsidRDefault="00D8403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C908DC" w:rsidRPr="009F5B8B" w:rsidRDefault="00D84034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C908DC" w:rsidRPr="009F5B8B" w:rsidRDefault="00D84034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0.2pt;margin-top:12.95pt;width:359.6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tzPA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" filled="f" stroked="f">
              <v:path arrowok="t"/>
              <v:textbox>
                <w:txbxContent>
                  <w:p w:rsidR="00C908DC" w:rsidRPr="009F5B8B" w:rsidRDefault="00BD5FB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C908DC" w:rsidRPr="009F5B8B" w:rsidRDefault="00C54BC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C908DC" w:rsidRDefault="00C54BC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C908DC" w:rsidRPr="009F5B8B" w:rsidRDefault="00BD5FB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C908DC" w:rsidRPr="009F5B8B" w:rsidRDefault="00BD5FB2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C908DC" w:rsidRPr="009F5B8B" w:rsidRDefault="00BD5FB2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0EBB" w:rsidRDefault="003F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F0EBB" w:rsidRDefault="003F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F0EBB" w:rsidRDefault="003F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F0EBB" w:rsidRDefault="003F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F0EBB" w:rsidRDefault="003F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F0EBB" w:rsidRDefault="003F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F0EBB" w:rsidRDefault="007246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 xml:space="preserve">                           </w:t>
    </w:r>
    <w:r w:rsidR="00C54BC9">
      <w:rPr>
        <w:rFonts w:ascii="Arial" w:eastAsia="Arial" w:hAnsi="Arial" w:cs="Arial"/>
        <w:color w:val="595959"/>
        <w:sz w:val="18"/>
        <w:szCs w:val="18"/>
      </w:rPr>
      <w:t>2020. “Año de Laura Méndez de Cuenca; emblema de la mujer Mexiquense”</w:t>
    </w:r>
  </w:p>
  <w:p w:rsidR="003F0EBB" w:rsidRDefault="003F0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631"/>
    <w:multiLevelType w:val="multilevel"/>
    <w:tmpl w:val="D58606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BB"/>
    <w:rsid w:val="0004084F"/>
    <w:rsid w:val="00081D91"/>
    <w:rsid w:val="003650B0"/>
    <w:rsid w:val="003D5B8E"/>
    <w:rsid w:val="003F0EBB"/>
    <w:rsid w:val="0046048D"/>
    <w:rsid w:val="00474F24"/>
    <w:rsid w:val="007246B3"/>
    <w:rsid w:val="00A37808"/>
    <w:rsid w:val="00B3671D"/>
    <w:rsid w:val="00BD5FB2"/>
    <w:rsid w:val="00C54BC9"/>
    <w:rsid w:val="00D5061A"/>
    <w:rsid w:val="00D84034"/>
    <w:rsid w:val="00EF7A19"/>
    <w:rsid w:val="00F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7601E-E6B2-4481-A804-46972023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U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2B6FAB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24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6B3"/>
  </w:style>
  <w:style w:type="paragraph" w:styleId="Piedepgina">
    <w:name w:val="footer"/>
    <w:basedOn w:val="Normal"/>
    <w:link w:val="PiedepginaCar"/>
    <w:uiPriority w:val="99"/>
    <w:unhideWhenUsed/>
    <w:rsid w:val="00724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6B3"/>
  </w:style>
  <w:style w:type="character" w:customStyle="1" w:styleId="yiv5901017152gmail-il">
    <w:name w:val="yiv5901017152gmail-il"/>
    <w:basedOn w:val="Fuentedeprrafopredeter"/>
    <w:rsid w:val="00F9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6</cp:revision>
  <dcterms:created xsi:type="dcterms:W3CDTF">2020-07-16T15:25:00Z</dcterms:created>
  <dcterms:modified xsi:type="dcterms:W3CDTF">2020-07-16T16:18:00Z</dcterms:modified>
</cp:coreProperties>
</file>