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34" w:rsidRPr="006C71CC" w:rsidRDefault="00DC0CB4" w:rsidP="006C71CC">
      <w:pPr>
        <w:jc w:val="right"/>
        <w:rPr>
          <w:rFonts w:ascii="Arial" w:eastAsia="Arial" w:hAnsi="Arial" w:cs="Arial"/>
          <w:color w:val="595959"/>
          <w:sz w:val="12"/>
          <w:szCs w:val="12"/>
        </w:rPr>
      </w:pPr>
      <w:r>
        <w:rPr>
          <w:rFonts w:ascii="Arial" w:eastAsia="Arial" w:hAnsi="Arial" w:cs="Arial"/>
          <w:b/>
          <w:color w:val="808080"/>
        </w:rPr>
        <w:t>Comunicado Núm. 0402</w:t>
      </w:r>
      <w:r w:rsidR="00146C2B">
        <w:rPr>
          <w:rFonts w:ascii="Arial" w:eastAsia="Arial" w:hAnsi="Arial" w:cs="Arial"/>
          <w:b/>
          <w:color w:val="808080"/>
        </w:rPr>
        <w:t>/2021</w:t>
      </w:r>
    </w:p>
    <w:p w:rsidR="00DB3134" w:rsidRDefault="00DB3134">
      <w:pPr>
        <w:jc w:val="right"/>
        <w:rPr>
          <w:rFonts w:ascii="Arial" w:eastAsia="Arial" w:hAnsi="Arial" w:cs="Arial"/>
          <w:color w:val="808080"/>
        </w:rPr>
      </w:pPr>
    </w:p>
    <w:p w:rsidR="00DB3134" w:rsidRDefault="00146C2B">
      <w:pPr>
        <w:shd w:val="clear" w:color="auto" w:fill="FFFFFF"/>
        <w:tabs>
          <w:tab w:val="left" w:pos="284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Toluca, de los primeros municipios del país en completar vacunación contra COVID-19 de la población adulta</w:t>
      </w:r>
    </w:p>
    <w:p w:rsidR="00DB3134" w:rsidRDefault="00146C2B">
      <w:pPr>
        <w:shd w:val="clear" w:color="auto" w:fill="FFFFFF"/>
        <w:tabs>
          <w:tab w:val="left" w:pos="336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DB3134" w:rsidRPr="00DC0CB4" w:rsidRDefault="00146C2B">
      <w:pPr>
        <w:numPr>
          <w:ilvl w:val="0"/>
          <w:numId w:val="1"/>
        </w:numPr>
        <w:shd w:val="clear" w:color="auto" w:fill="FFFFFF"/>
        <w:jc w:val="both"/>
        <w:rPr>
          <w:b/>
          <w:i/>
          <w:sz w:val="22"/>
          <w:szCs w:val="22"/>
        </w:rPr>
      </w:pPr>
      <w:r w:rsidRPr="00DC0CB4">
        <w:rPr>
          <w:rFonts w:ascii="Arial" w:eastAsia="Arial" w:hAnsi="Arial" w:cs="Arial"/>
          <w:i/>
          <w:sz w:val="22"/>
          <w:szCs w:val="22"/>
        </w:rPr>
        <w:t>Se aplicaron</w:t>
      </w:r>
      <w:r w:rsidR="00DC0CB4">
        <w:rPr>
          <w:rFonts w:ascii="Arial" w:eastAsia="Arial" w:hAnsi="Arial" w:cs="Arial"/>
          <w:i/>
          <w:sz w:val="22"/>
          <w:szCs w:val="22"/>
        </w:rPr>
        <w:t xml:space="preserve"> más de 1 millón 200 mil dosis; </w:t>
      </w:r>
      <w:r w:rsidRPr="00DC0CB4">
        <w:rPr>
          <w:rFonts w:ascii="Arial" w:eastAsia="Arial" w:hAnsi="Arial" w:cs="Arial"/>
          <w:i/>
          <w:sz w:val="22"/>
          <w:szCs w:val="22"/>
        </w:rPr>
        <w:t>es decir, poco más de 600 mil personas con esquema completo</w:t>
      </w:r>
      <w:bookmarkStart w:id="0" w:name="_GoBack"/>
      <w:bookmarkEnd w:id="0"/>
    </w:p>
    <w:p w:rsidR="00DB3134" w:rsidRDefault="00DB3134">
      <w:pPr>
        <w:shd w:val="clear" w:color="auto" w:fill="FFFFFF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:rsidR="00DB3134" w:rsidRDefault="00146C2B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Toluca, Estado de México, domingo 10 de octubre de 2021.- </w:t>
      </w:r>
      <w:r>
        <w:rPr>
          <w:rFonts w:ascii="Arial" w:eastAsia="Arial" w:hAnsi="Arial" w:cs="Arial"/>
        </w:rPr>
        <w:t>Con más de 1 millón 200 mil dosis aplic</w:t>
      </w:r>
      <w:r w:rsidR="00DC0CB4">
        <w:rPr>
          <w:rFonts w:ascii="Arial" w:eastAsia="Arial" w:hAnsi="Arial" w:cs="Arial"/>
        </w:rPr>
        <w:t>adas de vacunas contra COVID-19,</w:t>
      </w:r>
      <w:r>
        <w:rPr>
          <w:rFonts w:ascii="Arial" w:eastAsia="Arial" w:hAnsi="Arial" w:cs="Arial"/>
        </w:rPr>
        <w:t xml:space="preserve"> es decir, poco más de 600 mil personas con su esquema de inmunización completo, Toluca se convierte en uno de los primeros municipios del país en proteger a casi toda la población de más de 18 años de edad.</w:t>
      </w:r>
    </w:p>
    <w:p w:rsidR="00DB3134" w:rsidRDefault="00146C2B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Gracias a la coordinación de los gobiernos fede</w:t>
      </w:r>
      <w:r w:rsidR="00DC0CB4">
        <w:rPr>
          <w:rFonts w:ascii="Arial" w:eastAsia="Arial" w:hAnsi="Arial" w:cs="Arial"/>
        </w:rPr>
        <w:t xml:space="preserve">ral, estatal y el municipal, que </w:t>
      </w:r>
      <w:r>
        <w:rPr>
          <w:rFonts w:ascii="Arial" w:eastAsia="Arial" w:hAnsi="Arial" w:cs="Arial"/>
        </w:rPr>
        <w:t>preside Juan Rodolfo Sánchez Gómez, así como al compromiso del personal sanitario, la vacunación en la capital avanzó de forma exitosa y se aplicaron tres de los biológicos más reconocidos a nivel mundial por su efectividad, seguridad, eficacia, calidad y nivel de protección: Pfizer</w:t>
      </w:r>
      <w:r>
        <w:rPr>
          <w:rFonts w:ascii="Helvetica Neue" w:eastAsia="Helvetica Neue" w:hAnsi="Helvetica Neue" w:cs="Helvetica Neue"/>
          <w:b/>
          <w:color w:val="999999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</w:rPr>
        <w:t>BioNTech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Sputnik</w:t>
      </w:r>
      <w:proofErr w:type="spellEnd"/>
      <w:r>
        <w:rPr>
          <w:rFonts w:ascii="Arial" w:eastAsia="Arial" w:hAnsi="Arial" w:cs="Arial"/>
        </w:rPr>
        <w:t xml:space="preserve"> V y Moderna. </w:t>
      </w:r>
    </w:p>
    <w:p w:rsidR="00DB3134" w:rsidRDefault="00146C2B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esta manera, desde el 9 de marzo en que comenzó la vacunación para los adultos mayores </w:t>
      </w:r>
      <w:r w:rsidR="00DC0CB4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>hasta este domingo 10 de octubre en que concluyó la jornada para la generación de 18 a 29 años de edad, se avanzó de forma agigantada para proteger a las familias de la capital y, con ello, consolidar la reactivación económica y social del municipio.</w:t>
      </w:r>
    </w:p>
    <w:p w:rsidR="00DB3134" w:rsidRDefault="00146C2B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este marco, el gobierno municipal hace un llamado a no bajar la guardia y mantener las medidas sanitarias como el uso del </w:t>
      </w:r>
      <w:proofErr w:type="spellStart"/>
      <w:r>
        <w:rPr>
          <w:rFonts w:ascii="Arial" w:eastAsia="Arial" w:hAnsi="Arial" w:cs="Arial"/>
        </w:rPr>
        <w:t>cubrebocas</w:t>
      </w:r>
      <w:proofErr w:type="spellEnd"/>
      <w:r>
        <w:rPr>
          <w:rFonts w:ascii="Arial" w:eastAsia="Arial" w:hAnsi="Arial" w:cs="Arial"/>
        </w:rPr>
        <w:t>, el lavado constante de manos y la sana distancia</w:t>
      </w:r>
      <w:r w:rsidR="00DC0CB4">
        <w:rPr>
          <w:rFonts w:ascii="Arial" w:eastAsia="Arial" w:hAnsi="Arial" w:cs="Arial"/>
        </w:rPr>
        <w:t>, como mecanismos</w:t>
      </w:r>
      <w:r>
        <w:rPr>
          <w:rFonts w:ascii="Arial" w:eastAsia="Arial" w:hAnsi="Arial" w:cs="Arial"/>
        </w:rPr>
        <w:t xml:space="preserve"> para impedir la transmisión del virus, pues el objetivo de las vacunas es preparar al sistema inmunológico para combatir la enfermedad, activar las defensas naturales del organismo y fortalecer el sistema inmunitario, con lo que se espera reducir el índice de mortalidad. Sin embargo, no evitan que la persona vacunada pueda contagiarse.</w:t>
      </w:r>
    </w:p>
    <w:p w:rsidR="00DB3134" w:rsidRDefault="00146C2B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Además, el Ayuntamiento</w:t>
      </w:r>
      <w:r w:rsidR="00DC0CB4">
        <w:rPr>
          <w:rFonts w:ascii="Arial" w:eastAsia="Arial" w:hAnsi="Arial" w:cs="Arial"/>
        </w:rPr>
        <w:t xml:space="preserve"> de la capital hace un llamado para</w:t>
      </w:r>
      <w:r>
        <w:rPr>
          <w:rFonts w:ascii="Arial" w:eastAsia="Arial" w:hAnsi="Arial" w:cs="Arial"/>
        </w:rPr>
        <w:t xml:space="preserve"> hacer ejercicio y tener una dieta balanceada</w:t>
      </w:r>
      <w:r w:rsidR="00DC0CB4">
        <w:rPr>
          <w:rFonts w:ascii="Arial" w:eastAsia="Arial" w:hAnsi="Arial" w:cs="Arial"/>
        </w:rPr>
        <w:t>, a fin de</w:t>
      </w:r>
      <w:r>
        <w:rPr>
          <w:rFonts w:ascii="Arial" w:eastAsia="Arial" w:hAnsi="Arial" w:cs="Arial"/>
        </w:rPr>
        <w:t xml:space="preserve"> mantener un cuerpo fuerte y sano, que esté listo para </w:t>
      </w:r>
      <w:r w:rsidR="00DC0CB4">
        <w:rPr>
          <w:rFonts w:ascii="Arial" w:eastAsia="Arial" w:hAnsi="Arial" w:cs="Arial"/>
        </w:rPr>
        <w:t>defenderse no sólo del COVID-19</w:t>
      </w:r>
      <w:r>
        <w:rPr>
          <w:rFonts w:ascii="Arial" w:eastAsia="Arial" w:hAnsi="Arial" w:cs="Arial"/>
        </w:rPr>
        <w:t xml:space="preserve"> sino también de la influenza estacional y de otras enfermedades. </w:t>
      </w:r>
    </w:p>
    <w:p w:rsidR="00DB3134" w:rsidRDefault="00146C2B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igual forma, se recomienda asistir al médico a los primeros síntomas o al saber que se estuvo en contacto con alguna persona que resultó positiva para el virus SARS-CoV-2, pues la atención oportuna </w:t>
      </w:r>
      <w:r w:rsidR="00DC0CB4">
        <w:rPr>
          <w:rFonts w:ascii="Arial" w:eastAsia="Arial" w:hAnsi="Arial" w:cs="Arial"/>
        </w:rPr>
        <w:t>brin</w:t>
      </w:r>
      <w:r>
        <w:rPr>
          <w:rFonts w:ascii="Arial" w:eastAsia="Arial" w:hAnsi="Arial" w:cs="Arial"/>
        </w:rPr>
        <w:t xml:space="preserve">da </w:t>
      </w:r>
      <w:r w:rsidR="00DC0CB4">
        <w:rPr>
          <w:rFonts w:ascii="Arial" w:eastAsia="Arial" w:hAnsi="Arial" w:cs="Arial"/>
        </w:rPr>
        <w:t>mayores</w:t>
      </w:r>
      <w:r>
        <w:rPr>
          <w:rFonts w:ascii="Arial" w:eastAsia="Arial" w:hAnsi="Arial" w:cs="Arial"/>
        </w:rPr>
        <w:t xml:space="preserve"> probabilidades de vencer la enfermedad.</w:t>
      </w:r>
    </w:p>
    <w:p w:rsidR="00DB3134" w:rsidRDefault="00DB3134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</w:p>
    <w:p w:rsidR="00DC0CB4" w:rsidRDefault="00DC0CB4">
      <w:pP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</w:rPr>
      </w:pPr>
    </w:p>
    <w:p w:rsidR="00DB3134" w:rsidRDefault="00146C2B" w:rsidP="00093DEF">
      <w:pPr>
        <w:shd w:val="clear" w:color="auto" w:fill="FFFFFF"/>
        <w:spacing w:line="276" w:lineRule="auto"/>
        <w:jc w:val="both"/>
        <w:rPr>
          <w:rFonts w:ascii="Arial" w:eastAsia="Arial" w:hAnsi="Arial" w:cs="Arial"/>
          <w:highlight w:val="white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highlight w:val="white"/>
        </w:rPr>
        <w:t>Pie de foto.-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</w:rPr>
        <w:t>Con más de 1 millón 200 mil dosis aplicadas de vacunas contra COVID-19, es decir 600 mil personas con su esquema de inmunización completo, Toluca se convierte en uno de los primeros municipios del país en proteger a casi toda la población de más de 18 años de edad.</w:t>
      </w:r>
    </w:p>
    <w:sectPr w:rsidR="00DB3134">
      <w:headerReference w:type="default" r:id="rId7"/>
      <w:footerReference w:type="default" r:id="rId8"/>
      <w:pgSz w:w="12240" w:h="15840"/>
      <w:pgMar w:top="63" w:right="1701" w:bottom="1560" w:left="1701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84" w:rsidRDefault="00850F84">
      <w:r>
        <w:separator/>
      </w:r>
    </w:p>
  </w:endnote>
  <w:endnote w:type="continuationSeparator" w:id="0">
    <w:p w:rsidR="00850F84" w:rsidRDefault="0085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134" w:rsidRDefault="00146C2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84" w:rsidRDefault="00850F84">
      <w:r>
        <w:separator/>
      </w:r>
    </w:p>
  </w:footnote>
  <w:footnote w:type="continuationSeparator" w:id="0">
    <w:p w:rsidR="00850F84" w:rsidRDefault="00850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134" w:rsidRDefault="00146C2B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rFonts w:ascii="Arial" w:eastAsia="Arial" w:hAnsi="Arial" w:cs="Arial"/>
        <w:color w:val="7F7F7F"/>
        <w:sz w:val="22"/>
        <w:szCs w:val="22"/>
      </w:rPr>
      <w:t xml:space="preserve">    </w:t>
    </w:r>
    <w:r>
      <w:rPr>
        <w:noProof/>
        <w:lang w:val="es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-379090</wp:posOffset>
          </wp:positionH>
          <wp:positionV relativeFrom="paragraph">
            <wp:posOffset>208915</wp:posOffset>
          </wp:positionV>
          <wp:extent cx="911225" cy="10210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3134" w:rsidRDefault="00DB313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:rsidR="00DB3134" w:rsidRDefault="00146C2B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noProof/>
        <w:lang w:val="es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965200</wp:posOffset>
              </wp:positionH>
              <wp:positionV relativeFrom="paragraph">
                <wp:posOffset>0</wp:posOffset>
              </wp:positionV>
              <wp:extent cx="4995067" cy="72439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5067" cy="72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79FF" w:rsidRDefault="00850F84">
                          <w:pPr>
                            <w:jc w:val="right"/>
                            <w:textDirection w:val="btLr"/>
                          </w:pPr>
                        </w:p>
                        <w:p w:rsidR="008279FF" w:rsidRDefault="00146C2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:rsidR="008279FF" w:rsidRDefault="00146C2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Departamento de Información Periodística, Análisis y Seguimiento de Medios</w:t>
                          </w:r>
                        </w:p>
                        <w:p w:rsidR="008279FF" w:rsidRDefault="00850F84">
                          <w:pPr>
                            <w:jc w:val="right"/>
                            <w:textDirection w:val="btLr"/>
                          </w:pPr>
                        </w:p>
                        <w:p w:rsidR="008279FF" w:rsidRDefault="00850F84">
                          <w:pPr>
                            <w:textDirection w:val="btLr"/>
                          </w:pPr>
                        </w:p>
                        <w:p w:rsidR="008279FF" w:rsidRDefault="00850F8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0</wp:posOffset>
              </wp:positionV>
              <wp:extent cx="4995067" cy="7243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95067" cy="724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B3134" w:rsidRDefault="00DB313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:rsidR="00DB3134" w:rsidRDefault="00DB313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:rsidR="00DB3134" w:rsidRDefault="00DB313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:rsidR="00DB3134" w:rsidRDefault="00DB313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:rsidR="00DB3134" w:rsidRDefault="00DC0CB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39393B"/>
        <w:highlight w:val="white"/>
      </w:rPr>
      <w:t xml:space="preserve">               </w:t>
    </w:r>
    <w:r w:rsidR="00146C2B">
      <w:rPr>
        <w:rFonts w:ascii="Arial" w:eastAsia="Arial" w:hAnsi="Arial" w:cs="Arial"/>
        <w:color w:val="39393B"/>
        <w:sz w:val="18"/>
        <w:szCs w:val="18"/>
        <w:highlight w:val="white"/>
      </w:rPr>
      <w:t>“</w:t>
    </w:r>
    <w:r w:rsidR="00146C2B">
      <w:rPr>
        <w:rFonts w:ascii="Arial" w:eastAsia="Arial" w:hAnsi="Arial" w:cs="Arial"/>
        <w:i/>
        <w:color w:val="39393B"/>
        <w:sz w:val="18"/>
        <w:szCs w:val="18"/>
        <w:highlight w:val="white"/>
      </w:rPr>
      <w:t xml:space="preserve">2021. Año de la Consumación de la Independencia y la Grandeza de México”   </w:t>
    </w:r>
  </w:p>
  <w:p w:rsidR="00DB3134" w:rsidRDefault="00146C2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i/>
        <w:color w:val="595959"/>
        <w:sz w:val="18"/>
        <w:szCs w:val="18"/>
      </w:rPr>
      <w:t xml:space="preserve">                                  </w:t>
    </w:r>
  </w:p>
  <w:p w:rsidR="00DB3134" w:rsidRDefault="00DB313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7F7F7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663C3"/>
    <w:multiLevelType w:val="multilevel"/>
    <w:tmpl w:val="E452C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34"/>
    <w:rsid w:val="00093DEF"/>
    <w:rsid w:val="00146C2B"/>
    <w:rsid w:val="006C71CC"/>
    <w:rsid w:val="00850F84"/>
    <w:rsid w:val="00B36ED6"/>
    <w:rsid w:val="00DB3134"/>
    <w:rsid w:val="00DC0CB4"/>
    <w:rsid w:val="00F3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DD15A-BF29-4720-92F3-553B5CB0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" w:eastAsia="es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C0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CB4"/>
  </w:style>
  <w:style w:type="paragraph" w:styleId="Piedepgina">
    <w:name w:val="footer"/>
    <w:basedOn w:val="Normal"/>
    <w:link w:val="PiedepginaCar"/>
    <w:uiPriority w:val="99"/>
    <w:unhideWhenUsed/>
    <w:rsid w:val="00DC0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5</cp:revision>
  <dcterms:created xsi:type="dcterms:W3CDTF">2021-10-11T01:27:00Z</dcterms:created>
  <dcterms:modified xsi:type="dcterms:W3CDTF">2021-10-11T01:38:00Z</dcterms:modified>
</cp:coreProperties>
</file>