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3" w:rsidRPr="0035163D" w:rsidRDefault="00185CFF" w:rsidP="0035163D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0426</w:t>
      </w:r>
      <w:bookmarkStart w:id="0" w:name="_GoBack"/>
      <w:bookmarkEnd w:id="0"/>
      <w:r w:rsidR="006E05C8">
        <w:rPr>
          <w:rFonts w:ascii="Arial" w:eastAsia="Arial" w:hAnsi="Arial" w:cs="Arial"/>
          <w:b/>
          <w:color w:val="808080"/>
        </w:rPr>
        <w:t>/2021</w:t>
      </w:r>
    </w:p>
    <w:p w:rsidR="00C74533" w:rsidRDefault="00C74533">
      <w:pPr>
        <w:jc w:val="right"/>
        <w:rPr>
          <w:rFonts w:ascii="Arial" w:eastAsia="Arial" w:hAnsi="Arial" w:cs="Arial"/>
          <w:color w:val="808080"/>
        </w:rPr>
      </w:pPr>
    </w:p>
    <w:p w:rsidR="00C74533" w:rsidRDefault="006E05C8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Las tradiciones, la cultura y el arte cobran vida en el Festival del Alfeñique Toluca</w:t>
      </w:r>
    </w:p>
    <w:p w:rsidR="00C74533" w:rsidRDefault="00C7453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:rsidR="00C74533" w:rsidRPr="0035163D" w:rsidRDefault="006E05C8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35163D">
        <w:rPr>
          <w:rFonts w:ascii="Arial" w:eastAsia="Arial" w:hAnsi="Arial" w:cs="Arial"/>
          <w:i/>
          <w:sz w:val="22"/>
          <w:szCs w:val="22"/>
        </w:rPr>
        <w:t>De forma presencial, con las medidas sanitarias correspondientes, y de forma virtual</w:t>
      </w:r>
    </w:p>
    <w:p w:rsidR="00C74533" w:rsidRDefault="00C74533">
      <w:p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</w:p>
    <w:p w:rsidR="00C74533" w:rsidRDefault="006E05C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jueves 21 de octubre de 2021.-</w:t>
      </w:r>
      <w:r>
        <w:rPr>
          <w:rFonts w:ascii="Arial" w:eastAsia="Arial" w:hAnsi="Arial" w:cs="Arial"/>
        </w:rPr>
        <w:t xml:space="preserve"> Las tradiciones, la cultura y el arte cobran vida en el Festival del Alfeñique de Toluca, que ha conquistado a la población con su formato híbrido -con actividades de forma presencial y virtual-, y prepara grandes sorpresas para toda la familia durante los próximos días.</w:t>
      </w:r>
    </w:p>
    <w:p w:rsidR="00C74533" w:rsidRDefault="006E05C8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Conciertos, títeres, poesía, cine performativo, monólogos, conferencias, ballet, leyendas y muchas actividades más</w:t>
      </w:r>
      <w:r w:rsidR="00713F8E">
        <w:rPr>
          <w:rFonts w:ascii="Arial" w:eastAsia="Arial" w:hAnsi="Arial" w:cs="Arial"/>
        </w:rPr>
        <w:t>, son las que la</w:t>
      </w:r>
      <w:r w:rsidR="00F942D5">
        <w:rPr>
          <w:rFonts w:ascii="Arial" w:eastAsia="Arial" w:hAnsi="Arial" w:cs="Arial"/>
        </w:rPr>
        <w:t xml:space="preserve"> administración que preside </w:t>
      </w:r>
      <w:r>
        <w:rPr>
          <w:rFonts w:ascii="Arial" w:eastAsia="Arial" w:hAnsi="Arial" w:cs="Arial"/>
        </w:rPr>
        <w:t>Juan Rodolfo Sánchez Gómez tie</w:t>
      </w:r>
      <w:r w:rsidR="00F942D5">
        <w:rPr>
          <w:rFonts w:ascii="Arial" w:eastAsia="Arial" w:hAnsi="Arial" w:cs="Arial"/>
        </w:rPr>
        <w:t>ne preparadas para la población</w:t>
      </w:r>
      <w:r>
        <w:rPr>
          <w:rFonts w:ascii="Arial" w:eastAsia="Arial" w:hAnsi="Arial" w:cs="Arial"/>
        </w:rPr>
        <w:t xml:space="preserve"> con el objetivo de conmemorar, de forma responsable, una de las festividades más importantes para los mexicanos: el Día de Muertos.</w:t>
      </w:r>
    </w:p>
    <w:p w:rsidR="00C74533" w:rsidRDefault="006E05C8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esta manera, la Dirección de Cultura de la capital invita a disfrutar en su página de Facebook este viernes 22 de octubre a las 21:00 horas del</w:t>
      </w:r>
      <w:r w:rsidR="00F942D5">
        <w:rPr>
          <w:rFonts w:ascii="Arial" w:eastAsia="Arial" w:hAnsi="Arial" w:cs="Arial"/>
        </w:rPr>
        <w:t xml:space="preserve"> primer capítulo del Recorrido Virtual por el P</w:t>
      </w:r>
      <w:r>
        <w:rPr>
          <w:rFonts w:ascii="Arial" w:eastAsia="Arial" w:hAnsi="Arial" w:cs="Arial"/>
        </w:rPr>
        <w:t>anteón</w:t>
      </w:r>
      <w:r w:rsidR="00F942D5">
        <w:rPr>
          <w:rFonts w:ascii="Arial" w:eastAsia="Arial" w:hAnsi="Arial" w:cs="Arial"/>
        </w:rPr>
        <w:t xml:space="preserve"> General de la Soledad</w:t>
      </w:r>
      <w:r>
        <w:rPr>
          <w:rFonts w:ascii="Arial" w:eastAsia="Arial" w:hAnsi="Arial" w:cs="Arial"/>
        </w:rPr>
        <w:t xml:space="preserve">, </w:t>
      </w:r>
      <w:r w:rsidR="00F942D5">
        <w:rPr>
          <w:rFonts w:ascii="Arial" w:eastAsia="Arial" w:hAnsi="Arial" w:cs="Arial"/>
        </w:rPr>
        <w:t>en el que</w:t>
      </w:r>
      <w:r>
        <w:rPr>
          <w:rFonts w:ascii="Arial" w:eastAsia="Arial" w:hAnsi="Arial" w:cs="Arial"/>
        </w:rPr>
        <w:t xml:space="preserve"> conocerán las </w:t>
      </w:r>
      <w:r w:rsidR="00F942D5">
        <w:rPr>
          <w:rFonts w:ascii="Arial" w:eastAsia="Arial" w:hAnsi="Arial" w:cs="Arial"/>
        </w:rPr>
        <w:t xml:space="preserve">historias y </w:t>
      </w:r>
      <w:r>
        <w:rPr>
          <w:rFonts w:ascii="Arial" w:eastAsia="Arial" w:hAnsi="Arial" w:cs="Arial"/>
        </w:rPr>
        <w:t>leyendas de las tumbas; mientras que el sábado 23 a las 11:00 horas, Tinny Rock presentará "Me coopera para mi calaverita"</w:t>
      </w:r>
      <w:r w:rsidR="00F942D5">
        <w:rPr>
          <w:rFonts w:ascii="Arial" w:eastAsia="Arial" w:hAnsi="Arial" w:cs="Arial"/>
        </w:rPr>
        <w:t xml:space="preserve"> durante una visita virtual al M</w:t>
      </w:r>
      <w:r>
        <w:rPr>
          <w:rFonts w:ascii="Arial" w:eastAsia="Arial" w:hAnsi="Arial" w:cs="Arial"/>
        </w:rPr>
        <w:t>useo de la Inquisición; a las 14:00 Jazz</w:t>
      </w:r>
      <w:r w:rsidR="00F942D5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toy y Laura Ferrer </w:t>
      </w:r>
      <w:r w:rsidR="00F942D5"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</w:rPr>
        <w:t>arán un concierto de música mexicana; a las 17:00</w:t>
      </w:r>
      <w:r w:rsidR="00F942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Signos Sonoros, cine performativo desde el Museo del Alfeñique</w:t>
      </w:r>
      <w:r w:rsidR="00F942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y a las 21:00, el </w:t>
      </w:r>
      <w:r w:rsidR="00F942D5">
        <w:rPr>
          <w:rFonts w:ascii="Arial" w:eastAsia="Arial" w:hAnsi="Arial" w:cs="Arial"/>
        </w:rPr>
        <w:t>segundo capítulo del Recorrido Virtual por el P</w:t>
      </w:r>
      <w:r>
        <w:rPr>
          <w:rFonts w:ascii="Arial" w:eastAsia="Arial" w:hAnsi="Arial" w:cs="Arial"/>
        </w:rPr>
        <w:t>anteón.</w:t>
      </w:r>
    </w:p>
    <w:p w:rsidR="00C74533" w:rsidRDefault="006E05C8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domingo 24 de octubre se invita de forma presencial en el </w:t>
      </w:r>
      <w:r w:rsidR="00F942D5">
        <w:rPr>
          <w:rFonts w:ascii="Arial" w:eastAsia="Arial" w:hAnsi="Arial" w:cs="Arial"/>
        </w:rPr>
        <w:t>Foro Sor Juana Inés de la Cruz</w:t>
      </w:r>
      <w:r>
        <w:rPr>
          <w:rFonts w:ascii="Arial" w:eastAsia="Arial" w:hAnsi="Arial" w:cs="Arial"/>
        </w:rPr>
        <w:t xml:space="preserve"> y con las medidas sanitarias correspondientes, a las 12:00 horas, a deleitarse con el espectáculo preparado por la Compañía de Títeres de Toluca; a </w:t>
      </w:r>
      <w:r>
        <w:rPr>
          <w:rFonts w:ascii="Arial" w:eastAsia="Arial" w:hAnsi="Arial" w:cs="Arial"/>
        </w:rPr>
        <w:lastRenderedPageBreak/>
        <w:t>las 13:00 -también se transmitirá en redes sociales-, Miranda Lara y Rocío Ávalos ofrecerán Amores Perpetuos.</w:t>
      </w:r>
    </w:p>
    <w:p w:rsidR="00C74533" w:rsidRDefault="006E05C8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de f</w:t>
      </w:r>
      <w:r w:rsidR="00F942D5">
        <w:rPr>
          <w:rFonts w:ascii="Arial" w:eastAsia="Arial" w:hAnsi="Arial" w:cs="Arial"/>
        </w:rPr>
        <w:t>orma virtual, a las 17:00 horas</w:t>
      </w:r>
      <w:r>
        <w:rPr>
          <w:rFonts w:ascii="Arial" w:eastAsia="Arial" w:hAnsi="Arial" w:cs="Arial"/>
        </w:rPr>
        <w:t xml:space="preserve"> podrán disfrutar del concierto </w:t>
      </w:r>
      <w:r w:rsidR="00F942D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el guitarris</w:t>
      </w:r>
      <w:r w:rsidR="00713F8E">
        <w:rPr>
          <w:rFonts w:ascii="Arial" w:eastAsia="Arial" w:hAnsi="Arial" w:cs="Arial"/>
        </w:rPr>
        <w:t>ta argentino Alexander Echandia,</w:t>
      </w:r>
      <w:r>
        <w:rPr>
          <w:rFonts w:ascii="Arial" w:eastAsia="Arial" w:hAnsi="Arial" w:cs="Arial"/>
        </w:rPr>
        <w:t xml:space="preserve"> y a las 21:00 horas, el ter</w:t>
      </w:r>
      <w:r w:rsidR="00F942D5">
        <w:rPr>
          <w:rFonts w:ascii="Arial" w:eastAsia="Arial" w:hAnsi="Arial" w:cs="Arial"/>
        </w:rPr>
        <w:t xml:space="preserve">cer capítulo de los Recorridos por </w:t>
      </w:r>
      <w:r>
        <w:rPr>
          <w:rFonts w:ascii="Arial" w:eastAsia="Arial" w:hAnsi="Arial" w:cs="Arial"/>
        </w:rPr>
        <w:t>el Panteón.</w:t>
      </w:r>
    </w:p>
    <w:p w:rsidR="00C74533" w:rsidRDefault="006E05C8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destacar que este jueves 21 se llevó a cabo la inauguración de la exposición "Dulces Embajadores. Diplomacia Gastronómica", de dulces húngaros en Toluca, que estará abierta al público hasta </w:t>
      </w:r>
      <w:r w:rsidR="00F942D5">
        <w:rPr>
          <w:rFonts w:ascii="Arial" w:eastAsia="Arial" w:hAnsi="Arial" w:cs="Arial"/>
        </w:rPr>
        <w:t>el próximo 31 de octubre en la C</w:t>
      </w:r>
      <w:r>
        <w:rPr>
          <w:rFonts w:ascii="Arial" w:eastAsia="Arial" w:hAnsi="Arial" w:cs="Arial"/>
        </w:rPr>
        <w:t>apilla Exenta.</w:t>
      </w:r>
    </w:p>
    <w:p w:rsidR="00C74533" w:rsidRDefault="00F942D5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6E05C8">
        <w:rPr>
          <w:rFonts w:ascii="Arial" w:eastAsia="Arial" w:hAnsi="Arial" w:cs="Arial"/>
        </w:rPr>
        <w:t>programa completo</w:t>
      </w:r>
      <w:r>
        <w:rPr>
          <w:rFonts w:ascii="Arial" w:eastAsia="Arial" w:hAnsi="Arial" w:cs="Arial"/>
        </w:rPr>
        <w:t xml:space="preserve"> del Festival del Alfeñique puede ser </w:t>
      </w:r>
      <w:r w:rsidR="006E05C8">
        <w:rPr>
          <w:rFonts w:ascii="Arial" w:eastAsia="Arial" w:hAnsi="Arial" w:cs="Arial"/>
        </w:rPr>
        <w:t>consulta</w:t>
      </w:r>
      <w:r>
        <w:rPr>
          <w:rFonts w:ascii="Arial" w:eastAsia="Arial" w:hAnsi="Arial" w:cs="Arial"/>
        </w:rPr>
        <w:t>d</w:t>
      </w:r>
      <w:r w:rsidR="006E05C8">
        <w:rPr>
          <w:rFonts w:ascii="Arial" w:eastAsia="Arial" w:hAnsi="Arial" w:cs="Arial"/>
        </w:rPr>
        <w:t xml:space="preserve">o en las redes sociales de la Dirección de Cultura de Toluca. </w:t>
      </w:r>
    </w:p>
    <w:p w:rsidR="00C74533" w:rsidRDefault="006E05C8" w:rsidP="00713F8E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13F8E" w:rsidRDefault="00713F8E" w:rsidP="00713F8E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C74533" w:rsidRDefault="006E05C8" w:rsidP="00713F8E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Las tradiciones, la cultura y el arte cobran vida en el Festival del Alfeñique de Toluca, que ha conquistado a la población con su formato híbrido -con actividades de forma presencial y virtual-, y prepara grandes sorpresas para toda la familia durante los próximos días.</w:t>
      </w:r>
    </w:p>
    <w:p w:rsidR="00C74533" w:rsidRDefault="00C74533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C74533" w:rsidRDefault="00C74533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:rsidR="00C74533" w:rsidRDefault="00C74533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p w:rsidR="00C74533" w:rsidRDefault="00C74533">
      <w:pPr>
        <w:shd w:val="clear" w:color="auto" w:fill="FFFFFF"/>
        <w:jc w:val="both"/>
        <w:rPr>
          <w:rFonts w:ascii="Arial" w:eastAsia="Arial" w:hAnsi="Arial" w:cs="Arial"/>
        </w:rPr>
      </w:pPr>
      <w:bookmarkStart w:id="5" w:name="_2et92p0" w:colFirst="0" w:colLast="0"/>
      <w:bookmarkEnd w:id="5"/>
    </w:p>
    <w:p w:rsidR="00C74533" w:rsidRDefault="00C74533">
      <w:pPr>
        <w:shd w:val="clear" w:color="auto" w:fill="FFFFFF"/>
        <w:jc w:val="both"/>
        <w:rPr>
          <w:rFonts w:ascii="Arial" w:eastAsia="Arial" w:hAnsi="Arial" w:cs="Arial"/>
        </w:rPr>
      </w:pPr>
      <w:bookmarkStart w:id="6" w:name="_tyjcwt" w:colFirst="0" w:colLast="0"/>
      <w:bookmarkEnd w:id="6"/>
    </w:p>
    <w:sectPr w:rsidR="00C74533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99" w:rsidRDefault="00037C99">
      <w:r>
        <w:separator/>
      </w:r>
    </w:p>
  </w:endnote>
  <w:endnote w:type="continuationSeparator" w:id="0">
    <w:p w:rsidR="00037C99" w:rsidRDefault="0003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3" w:rsidRDefault="006E05C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99" w:rsidRDefault="00037C99">
      <w:r>
        <w:separator/>
      </w:r>
    </w:p>
  </w:footnote>
  <w:footnote w:type="continuationSeparator" w:id="0">
    <w:p w:rsidR="00037C99" w:rsidRDefault="0003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3" w:rsidRDefault="006E05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-379076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533" w:rsidRDefault="00C7453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C74533" w:rsidRDefault="006E05C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037C99">
                          <w:pPr>
                            <w:jc w:val="right"/>
                            <w:textDirection w:val="btLr"/>
                          </w:pPr>
                        </w:p>
                        <w:p w:rsidR="00417AEC" w:rsidRDefault="006E05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6E05C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037C99">
                          <w:pPr>
                            <w:jc w:val="right"/>
                            <w:textDirection w:val="btLr"/>
                          </w:pPr>
                        </w:p>
                        <w:p w:rsidR="00417AEC" w:rsidRDefault="00037C99">
                          <w:pPr>
                            <w:textDirection w:val="btLr"/>
                          </w:pPr>
                        </w:p>
                        <w:p w:rsidR="00417AEC" w:rsidRDefault="00037C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417AEC" w:rsidRDefault="007E6DF8">
                    <w:pPr>
                      <w:jc w:val="right"/>
                      <w:textDirection w:val="btLr"/>
                    </w:pPr>
                  </w:p>
                  <w:p w:rsidR="00417AEC" w:rsidRDefault="006E05C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417AEC" w:rsidRDefault="006E05C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417AEC" w:rsidRDefault="007E6DF8">
                    <w:pPr>
                      <w:jc w:val="right"/>
                      <w:textDirection w:val="btLr"/>
                    </w:pPr>
                  </w:p>
                  <w:p w:rsidR="00417AEC" w:rsidRDefault="007E6DF8">
                    <w:pPr>
                      <w:textDirection w:val="btLr"/>
                    </w:pPr>
                  </w:p>
                  <w:p w:rsidR="00417AEC" w:rsidRDefault="007E6DF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74533" w:rsidRDefault="00C7453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C74533" w:rsidRDefault="00C7453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C74533" w:rsidRDefault="00C7453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C74533" w:rsidRDefault="00C7453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C74533" w:rsidRDefault="0035163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6E05C8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6E05C8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C74533" w:rsidRDefault="006E05C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C74533" w:rsidRDefault="00C7453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D2A4B"/>
    <w:multiLevelType w:val="multilevel"/>
    <w:tmpl w:val="876A7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33"/>
    <w:rsid w:val="00037C99"/>
    <w:rsid w:val="00185CFF"/>
    <w:rsid w:val="0035163D"/>
    <w:rsid w:val="006E05C8"/>
    <w:rsid w:val="00713F8E"/>
    <w:rsid w:val="007E6DF8"/>
    <w:rsid w:val="00AA2FFF"/>
    <w:rsid w:val="00C74533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1EC24-0079-4026-80CC-355D3EB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516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63D"/>
  </w:style>
  <w:style w:type="paragraph" w:styleId="Piedepgina">
    <w:name w:val="footer"/>
    <w:basedOn w:val="Normal"/>
    <w:link w:val="PiedepginaCar"/>
    <w:uiPriority w:val="99"/>
    <w:unhideWhenUsed/>
    <w:rsid w:val="003516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2021-10-21T18:25:00Z</dcterms:created>
  <dcterms:modified xsi:type="dcterms:W3CDTF">2021-10-21T20:16:00Z</dcterms:modified>
</cp:coreProperties>
</file>