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547C5" w14:textId="37F195D9" w:rsidR="00AC1AFA" w:rsidRPr="003A3222" w:rsidRDefault="0043095A" w:rsidP="003A3222">
      <w:pPr>
        <w:jc w:val="right"/>
        <w:rPr>
          <w:rFonts w:ascii="Arial" w:eastAsia="Arial" w:hAnsi="Arial" w:cs="Arial"/>
          <w:color w:val="595959"/>
          <w:sz w:val="12"/>
          <w:szCs w:val="12"/>
        </w:rPr>
      </w:pPr>
      <w:r>
        <w:rPr>
          <w:rFonts w:ascii="Arial" w:eastAsia="Arial" w:hAnsi="Arial" w:cs="Arial"/>
          <w:b/>
          <w:color w:val="808080"/>
        </w:rPr>
        <w:t>Comunicado Núm. 0475</w:t>
      </w:r>
      <w:bookmarkStart w:id="0" w:name="_GoBack"/>
      <w:bookmarkEnd w:id="0"/>
      <w:r w:rsidR="006E4565">
        <w:rPr>
          <w:rFonts w:ascii="Arial" w:eastAsia="Arial" w:hAnsi="Arial" w:cs="Arial"/>
          <w:b/>
          <w:color w:val="808080"/>
        </w:rPr>
        <w:t>/2021</w:t>
      </w:r>
    </w:p>
    <w:p w14:paraId="7E6F2814" w14:textId="77777777" w:rsidR="00AC1AFA" w:rsidRDefault="00AC1AFA">
      <w:pPr>
        <w:jc w:val="right"/>
        <w:rPr>
          <w:rFonts w:ascii="Arial" w:eastAsia="Arial" w:hAnsi="Arial" w:cs="Arial"/>
          <w:color w:val="808080"/>
        </w:rPr>
      </w:pPr>
    </w:p>
    <w:p w14:paraId="0CF77A13" w14:textId="74DC8E57" w:rsidR="000C366E" w:rsidRPr="000C366E" w:rsidRDefault="008F4919" w:rsidP="000C366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Aprueban recinto para </w:t>
      </w:r>
      <w:r w:rsidRPr="008F4919">
        <w:rPr>
          <w:rFonts w:ascii="Arial" w:eastAsia="Arial" w:hAnsi="Arial" w:cs="Arial"/>
          <w:b/>
          <w:lang w:val="es-ES_tradnl"/>
        </w:rPr>
        <w:t>Toma de Protesta del Cabildo Municipal de Toluca electo</w:t>
      </w:r>
      <w:r>
        <w:rPr>
          <w:rFonts w:ascii="Arial" w:eastAsia="Arial" w:hAnsi="Arial" w:cs="Arial"/>
          <w:b/>
          <w:lang w:val="es-ES_tradnl"/>
        </w:rPr>
        <w:t xml:space="preserve"> para el periodo 2022-2024</w:t>
      </w:r>
    </w:p>
    <w:p w14:paraId="74F21B34" w14:textId="77777777" w:rsidR="00AC1AFA" w:rsidRDefault="00AC1AFA" w:rsidP="008F4919">
      <w:pPr>
        <w:shd w:val="clear" w:color="auto" w:fill="FFFFFF"/>
        <w:jc w:val="both"/>
        <w:rPr>
          <w:rFonts w:ascii="Arial" w:eastAsia="Arial" w:hAnsi="Arial" w:cs="Arial"/>
          <w:i/>
          <w:sz w:val="20"/>
          <w:szCs w:val="20"/>
        </w:rPr>
      </w:pPr>
    </w:p>
    <w:p w14:paraId="62FB00D6" w14:textId="0FA8AC83" w:rsidR="00CD52C5" w:rsidRDefault="006E4565" w:rsidP="00CD52C5">
      <w:pPr>
        <w:spacing w:line="360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b/>
        </w:rPr>
        <w:t xml:space="preserve">Toluca, Estado de México, </w:t>
      </w:r>
      <w:r w:rsidR="00556CC5">
        <w:rPr>
          <w:rFonts w:ascii="Arial" w:eastAsia="Arial" w:hAnsi="Arial" w:cs="Arial"/>
          <w:b/>
        </w:rPr>
        <w:t>martes 23</w:t>
      </w:r>
      <w:r>
        <w:rPr>
          <w:rFonts w:ascii="Arial" w:eastAsia="Arial" w:hAnsi="Arial" w:cs="Arial"/>
          <w:b/>
        </w:rPr>
        <w:t xml:space="preserve"> de noviembre de 2021.-</w:t>
      </w:r>
      <w:r>
        <w:rPr>
          <w:rFonts w:ascii="Arial" w:eastAsia="Arial" w:hAnsi="Arial" w:cs="Arial"/>
        </w:rPr>
        <w:t xml:space="preserve"> </w:t>
      </w:r>
      <w:bookmarkStart w:id="1" w:name="_gjdgxs" w:colFirst="0" w:colLast="0"/>
      <w:bookmarkEnd w:id="1"/>
      <w:r w:rsidR="00CD52C5">
        <w:rPr>
          <w:rFonts w:ascii="Arial" w:eastAsia="Arial" w:hAnsi="Arial" w:cs="Arial"/>
        </w:rPr>
        <w:t xml:space="preserve">Durante la </w:t>
      </w:r>
      <w:r w:rsidR="00CD52C5" w:rsidRPr="00CD52C5">
        <w:rPr>
          <w:rFonts w:ascii="Arial" w:eastAsia="Arial" w:hAnsi="Arial" w:cs="Arial"/>
          <w:lang w:val="es-ES_tradnl"/>
        </w:rPr>
        <w:t>quincuagésima sép</w:t>
      </w:r>
      <w:r w:rsidR="00B57D64">
        <w:rPr>
          <w:rFonts w:ascii="Arial" w:eastAsia="Arial" w:hAnsi="Arial" w:cs="Arial"/>
          <w:lang w:val="es-ES_tradnl"/>
        </w:rPr>
        <w:t>tima sesión extraordinaria del C</w:t>
      </w:r>
      <w:r w:rsidR="00CD52C5" w:rsidRPr="00CD52C5">
        <w:rPr>
          <w:rFonts w:ascii="Arial" w:eastAsia="Arial" w:hAnsi="Arial" w:cs="Arial"/>
          <w:lang w:val="es-ES_tradnl"/>
        </w:rPr>
        <w:t xml:space="preserve">abildo </w:t>
      </w:r>
      <w:r w:rsidR="00CD52C5">
        <w:rPr>
          <w:rFonts w:ascii="Arial" w:eastAsia="Arial" w:hAnsi="Arial" w:cs="Arial"/>
          <w:lang w:val="es-ES_tradnl"/>
        </w:rPr>
        <w:t>de Toluca</w:t>
      </w:r>
      <w:r w:rsidR="003A3222">
        <w:rPr>
          <w:rFonts w:ascii="Arial" w:eastAsia="Arial" w:hAnsi="Arial" w:cs="Arial"/>
          <w:lang w:val="es-ES_tradnl"/>
        </w:rPr>
        <w:t>,</w:t>
      </w:r>
      <w:r w:rsidR="00CD52C5">
        <w:rPr>
          <w:rFonts w:ascii="Arial" w:eastAsia="Arial" w:hAnsi="Arial" w:cs="Arial"/>
          <w:lang w:val="es-ES_tradnl"/>
        </w:rPr>
        <w:t xml:space="preserve"> se aprobó el p</w:t>
      </w:r>
      <w:r w:rsidR="00B57D64">
        <w:rPr>
          <w:rFonts w:ascii="Arial" w:eastAsia="Arial" w:hAnsi="Arial" w:cs="Arial"/>
          <w:lang w:val="es-ES_tradnl"/>
        </w:rPr>
        <w:t>unto de a</w:t>
      </w:r>
      <w:r w:rsidR="00CD52C5" w:rsidRPr="00CD52C5">
        <w:rPr>
          <w:rFonts w:ascii="Arial" w:eastAsia="Arial" w:hAnsi="Arial" w:cs="Arial"/>
          <w:lang w:val="es-ES_tradnl"/>
        </w:rPr>
        <w:t>cuerdo solicita</w:t>
      </w:r>
      <w:r w:rsidR="00CD52C5">
        <w:rPr>
          <w:rFonts w:ascii="Arial" w:eastAsia="Arial" w:hAnsi="Arial" w:cs="Arial"/>
          <w:lang w:val="es-ES_tradnl"/>
        </w:rPr>
        <w:t xml:space="preserve">do por el </w:t>
      </w:r>
      <w:r w:rsidR="00B57D64">
        <w:rPr>
          <w:rFonts w:ascii="Arial" w:eastAsia="Arial" w:hAnsi="Arial" w:cs="Arial"/>
          <w:lang w:val="es-ES_tradnl"/>
        </w:rPr>
        <w:t>alcalde</w:t>
      </w:r>
      <w:r w:rsidR="00CD52C5" w:rsidRPr="00CD52C5">
        <w:rPr>
          <w:rFonts w:ascii="Arial" w:eastAsia="Arial" w:hAnsi="Arial" w:cs="Arial"/>
          <w:lang w:val="es-ES_tradnl"/>
        </w:rPr>
        <w:t xml:space="preserve"> Juan Rodolf</w:t>
      </w:r>
      <w:r w:rsidR="00B57D64">
        <w:rPr>
          <w:rFonts w:ascii="Arial" w:eastAsia="Arial" w:hAnsi="Arial" w:cs="Arial"/>
          <w:lang w:val="es-ES_tradnl"/>
        </w:rPr>
        <w:t>o Sánchez Gómez</w:t>
      </w:r>
      <w:r w:rsidR="00CD52C5" w:rsidRPr="00CD52C5">
        <w:rPr>
          <w:rFonts w:ascii="Arial" w:eastAsia="Arial" w:hAnsi="Arial" w:cs="Arial"/>
          <w:lang w:val="es-ES_tradnl"/>
        </w:rPr>
        <w:t xml:space="preserve"> </w:t>
      </w:r>
      <w:r w:rsidR="00CD52C5">
        <w:rPr>
          <w:rFonts w:ascii="Arial" w:eastAsia="Arial" w:hAnsi="Arial" w:cs="Arial"/>
          <w:lang w:val="es-ES_tradnl"/>
        </w:rPr>
        <w:t>para</w:t>
      </w:r>
      <w:r w:rsidR="00CD52C5" w:rsidRPr="00CD52C5">
        <w:rPr>
          <w:rFonts w:ascii="Arial" w:eastAsia="Arial" w:hAnsi="Arial" w:cs="Arial"/>
          <w:lang w:val="es-ES_tradnl"/>
        </w:rPr>
        <w:t xml:space="preserve"> declarar </w:t>
      </w:r>
      <w:r w:rsidR="00CD52C5">
        <w:rPr>
          <w:rFonts w:ascii="Arial" w:eastAsia="Arial" w:hAnsi="Arial" w:cs="Arial"/>
          <w:lang w:val="es-ES_tradnl"/>
        </w:rPr>
        <w:t xml:space="preserve">como </w:t>
      </w:r>
      <w:r w:rsidR="00CD52C5" w:rsidRPr="00CD52C5">
        <w:rPr>
          <w:rFonts w:ascii="Arial" w:eastAsia="Arial" w:hAnsi="Arial" w:cs="Arial"/>
          <w:lang w:val="es-ES_tradnl"/>
        </w:rPr>
        <w:t>Recinto Oficial las i</w:t>
      </w:r>
      <w:r w:rsidR="00CD52C5">
        <w:rPr>
          <w:rFonts w:ascii="Arial" w:eastAsia="Arial" w:hAnsi="Arial" w:cs="Arial"/>
          <w:lang w:val="es-ES_tradnl"/>
        </w:rPr>
        <w:t xml:space="preserve">nstalaciones de Teatro Morelos </w:t>
      </w:r>
      <w:r w:rsidR="00CD52C5" w:rsidRPr="00CD52C5">
        <w:rPr>
          <w:rFonts w:ascii="Arial" w:eastAsia="Arial" w:hAnsi="Arial" w:cs="Arial"/>
          <w:lang w:val="es-ES_tradnl"/>
        </w:rPr>
        <w:t>y celebrar Sesión Solemne del Hono</w:t>
      </w:r>
      <w:r w:rsidR="00CD52C5">
        <w:rPr>
          <w:rFonts w:ascii="Arial" w:eastAsia="Arial" w:hAnsi="Arial" w:cs="Arial"/>
          <w:lang w:val="es-ES_tradnl"/>
        </w:rPr>
        <w:t xml:space="preserve">rable Cabildo el </w:t>
      </w:r>
      <w:r w:rsidR="00CD52C5" w:rsidRPr="00CD52C5">
        <w:rPr>
          <w:rFonts w:ascii="Arial" w:eastAsia="Arial" w:hAnsi="Arial" w:cs="Arial"/>
          <w:lang w:val="es-ES_tradnl"/>
        </w:rPr>
        <w:t>9 de diciembre</w:t>
      </w:r>
      <w:r w:rsidR="000B14C9">
        <w:rPr>
          <w:rFonts w:ascii="Arial" w:eastAsia="Arial" w:hAnsi="Arial" w:cs="Arial"/>
          <w:lang w:val="es-ES_tradnl"/>
        </w:rPr>
        <w:t>,</w:t>
      </w:r>
      <w:r w:rsidR="00CD52C5" w:rsidRPr="00CD52C5">
        <w:rPr>
          <w:rFonts w:ascii="Arial" w:eastAsia="Arial" w:hAnsi="Arial" w:cs="Arial"/>
          <w:lang w:val="es-ES_tradnl"/>
        </w:rPr>
        <w:t xml:space="preserve"> </w:t>
      </w:r>
      <w:r w:rsidR="00B57D64">
        <w:rPr>
          <w:rFonts w:ascii="Arial" w:eastAsia="Arial" w:hAnsi="Arial" w:cs="Arial"/>
          <w:lang w:val="es-ES_tradnl"/>
        </w:rPr>
        <w:t xml:space="preserve">para </w:t>
      </w:r>
      <w:r w:rsidR="00CD52C5" w:rsidRPr="00CD52C5">
        <w:rPr>
          <w:rFonts w:ascii="Arial" w:eastAsia="Arial" w:hAnsi="Arial" w:cs="Arial"/>
          <w:lang w:val="es-ES_tradnl"/>
        </w:rPr>
        <w:t xml:space="preserve">la Toma de Protesta del Honorable Cabildo Municipal de Toluca electo para el Periodo Constitucional de Gobierno 2022-2024, en términos de lo señalado por </w:t>
      </w:r>
      <w:r w:rsidR="00CD52C5">
        <w:rPr>
          <w:rFonts w:ascii="Arial" w:eastAsia="Arial" w:hAnsi="Arial" w:cs="Arial"/>
          <w:lang w:val="es-ES_tradnl"/>
        </w:rPr>
        <w:t>la Ley.</w:t>
      </w:r>
    </w:p>
    <w:p w14:paraId="6BA90AC4" w14:textId="104F49ED" w:rsidR="00B57D64" w:rsidRPr="00CD52C5" w:rsidRDefault="00B57D64" w:rsidP="00B57D64">
      <w:pPr>
        <w:spacing w:line="360" w:lineRule="auto"/>
        <w:ind w:firstLine="720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t>En la sesión también se presentaron diversos d</w:t>
      </w:r>
      <w:r w:rsidRPr="00B57D64">
        <w:rPr>
          <w:rFonts w:ascii="Arial" w:eastAsia="Arial" w:hAnsi="Arial" w:cs="Arial"/>
          <w:lang w:val="es-ES_tradnl"/>
        </w:rPr>
        <w:t>ictámen</w:t>
      </w:r>
      <w:r>
        <w:rPr>
          <w:rFonts w:ascii="Arial" w:eastAsia="Arial" w:hAnsi="Arial" w:cs="Arial"/>
          <w:lang w:val="es-ES_tradnl"/>
        </w:rPr>
        <w:t>es</w:t>
      </w:r>
      <w:r w:rsidRPr="00B57D64">
        <w:rPr>
          <w:rFonts w:ascii="Arial" w:eastAsia="Arial" w:hAnsi="Arial" w:cs="Arial"/>
          <w:lang w:val="es-ES_tradnl"/>
        </w:rPr>
        <w:t xml:space="preserve"> </w:t>
      </w:r>
      <w:r w:rsidR="000B14C9">
        <w:rPr>
          <w:rFonts w:ascii="Arial" w:eastAsia="Arial" w:hAnsi="Arial" w:cs="Arial"/>
          <w:lang w:val="es-ES_tradnl"/>
        </w:rPr>
        <w:t xml:space="preserve">emitidos </w:t>
      </w:r>
      <w:r>
        <w:rPr>
          <w:rFonts w:ascii="Arial" w:eastAsia="Arial" w:hAnsi="Arial" w:cs="Arial"/>
          <w:lang w:val="es-ES_tradnl"/>
        </w:rPr>
        <w:t>por</w:t>
      </w:r>
      <w:r w:rsidRPr="00B57D64">
        <w:rPr>
          <w:rFonts w:ascii="Arial" w:eastAsia="Arial" w:hAnsi="Arial" w:cs="Arial"/>
          <w:lang w:val="es-ES_tradnl"/>
        </w:rPr>
        <w:t xml:space="preserve"> la Comisión de Desarrollo Económico y Turismo, relativo</w:t>
      </w:r>
      <w:r w:rsidR="000B14C9">
        <w:rPr>
          <w:rFonts w:ascii="Arial" w:eastAsia="Arial" w:hAnsi="Arial" w:cs="Arial"/>
          <w:lang w:val="es-ES_tradnl"/>
        </w:rPr>
        <w:t>s</w:t>
      </w:r>
      <w:r>
        <w:rPr>
          <w:rFonts w:ascii="Arial" w:eastAsia="Arial" w:hAnsi="Arial" w:cs="Arial"/>
          <w:lang w:val="es-ES_tradnl"/>
        </w:rPr>
        <w:t xml:space="preserve"> </w:t>
      </w:r>
      <w:r w:rsidRPr="00B57D64">
        <w:rPr>
          <w:rFonts w:ascii="Arial" w:eastAsia="Arial" w:hAnsi="Arial" w:cs="Arial"/>
          <w:lang w:val="es-ES_tradnl"/>
        </w:rPr>
        <w:t>a la autorización de la licencia de funcionamiento para el Alta al Padrón de</w:t>
      </w:r>
      <w:r>
        <w:rPr>
          <w:rFonts w:ascii="Arial" w:eastAsia="Arial" w:hAnsi="Arial" w:cs="Arial"/>
          <w:lang w:val="es-ES_tradnl"/>
        </w:rPr>
        <w:t xml:space="preserve"> </w:t>
      </w:r>
      <w:r w:rsidRPr="00B57D64">
        <w:rPr>
          <w:rFonts w:ascii="Arial" w:eastAsia="Arial" w:hAnsi="Arial" w:cs="Arial"/>
          <w:lang w:val="es-ES_tradnl"/>
        </w:rPr>
        <w:t xml:space="preserve">Establecimientos Comerciales, </w:t>
      </w:r>
      <w:r w:rsidR="00556CC5">
        <w:rPr>
          <w:rFonts w:ascii="Arial" w:eastAsia="Arial" w:hAnsi="Arial" w:cs="Arial"/>
          <w:lang w:val="es-ES_tradnl"/>
        </w:rPr>
        <w:t xml:space="preserve">Industriales y de Servicios </w:t>
      </w:r>
      <w:r w:rsidR="000B14C9">
        <w:rPr>
          <w:rFonts w:ascii="Arial" w:eastAsia="Arial" w:hAnsi="Arial" w:cs="Arial"/>
          <w:lang w:val="es-ES_tradnl"/>
        </w:rPr>
        <w:t>de diversas unidades económicas</w:t>
      </w:r>
      <w:r w:rsidR="00E5018D">
        <w:rPr>
          <w:rFonts w:ascii="Arial" w:eastAsia="Arial" w:hAnsi="Arial" w:cs="Arial"/>
          <w:lang w:val="es-ES_tradnl"/>
        </w:rPr>
        <w:t>,</w:t>
      </w:r>
      <w:r w:rsidR="00556CC5">
        <w:rPr>
          <w:rFonts w:ascii="Arial" w:eastAsia="Arial" w:hAnsi="Arial" w:cs="Arial"/>
          <w:lang w:val="es-ES_tradnl"/>
        </w:rPr>
        <w:t xml:space="preserve"> que cumplieron </w:t>
      </w:r>
      <w:r w:rsidR="003A3222">
        <w:rPr>
          <w:rFonts w:ascii="Arial" w:eastAsia="Arial" w:hAnsi="Arial" w:cs="Arial"/>
          <w:lang w:val="es-ES_tradnl"/>
        </w:rPr>
        <w:t>todos los requisitos necesarios</w:t>
      </w:r>
      <w:r w:rsidR="00556CC5">
        <w:rPr>
          <w:rFonts w:ascii="Arial" w:eastAsia="Arial" w:hAnsi="Arial" w:cs="Arial"/>
          <w:lang w:val="es-ES_tradnl"/>
        </w:rPr>
        <w:t xml:space="preserve"> para qu</w:t>
      </w:r>
      <w:r w:rsidR="000B14C9">
        <w:rPr>
          <w:rFonts w:ascii="Arial" w:eastAsia="Arial" w:hAnsi="Arial" w:cs="Arial"/>
          <w:lang w:val="es-ES_tradnl"/>
        </w:rPr>
        <w:t>e puedan ejercer conforme a la l</w:t>
      </w:r>
      <w:r w:rsidR="00556CC5">
        <w:rPr>
          <w:rFonts w:ascii="Arial" w:eastAsia="Arial" w:hAnsi="Arial" w:cs="Arial"/>
          <w:lang w:val="es-ES_tradnl"/>
        </w:rPr>
        <w:t xml:space="preserve">ey.  </w:t>
      </w:r>
    </w:p>
    <w:p w14:paraId="180A167F" w14:textId="440DDD99" w:rsidR="00F80CC1" w:rsidRDefault="00F80CC1" w:rsidP="00CD52C5">
      <w:pPr>
        <w:spacing w:line="360" w:lineRule="auto"/>
        <w:jc w:val="both"/>
        <w:rPr>
          <w:rFonts w:ascii="Arial" w:eastAsia="Arial" w:hAnsi="Arial" w:cs="Arial"/>
          <w:lang w:val="es-ES_tradnl"/>
        </w:rPr>
      </w:pPr>
    </w:p>
    <w:p w14:paraId="14C97111" w14:textId="77777777" w:rsidR="00E5018D" w:rsidRPr="00B3071D" w:rsidRDefault="00E5018D" w:rsidP="00CD52C5">
      <w:pPr>
        <w:spacing w:line="360" w:lineRule="auto"/>
        <w:jc w:val="both"/>
        <w:rPr>
          <w:rFonts w:ascii="Arial" w:eastAsia="Arial" w:hAnsi="Arial" w:cs="Arial"/>
          <w:lang w:val="es-ES_tradnl"/>
        </w:rPr>
      </w:pPr>
    </w:p>
    <w:p w14:paraId="0F2F9664" w14:textId="1F1188D9" w:rsidR="00F80CC1" w:rsidRPr="00651BE8" w:rsidRDefault="006E4565" w:rsidP="00E5018D">
      <w:pPr>
        <w:spacing w:line="276" w:lineRule="auto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b/>
          <w:highlight w:val="white"/>
        </w:rPr>
        <w:t>Pie de foto.-</w:t>
      </w:r>
      <w:r>
        <w:rPr>
          <w:rFonts w:ascii="Arial" w:eastAsia="Arial" w:hAnsi="Arial" w:cs="Arial"/>
          <w:highlight w:val="white"/>
        </w:rPr>
        <w:t xml:space="preserve"> </w:t>
      </w:r>
      <w:bookmarkStart w:id="2" w:name="_30j0zll" w:colFirst="0" w:colLast="0"/>
      <w:bookmarkStart w:id="3" w:name="_1fob9te" w:colFirst="0" w:colLast="0"/>
      <w:bookmarkStart w:id="4" w:name="_3znysh7" w:colFirst="0" w:colLast="0"/>
      <w:bookmarkEnd w:id="2"/>
      <w:bookmarkEnd w:id="3"/>
      <w:bookmarkEnd w:id="4"/>
      <w:r w:rsidR="00556CC5">
        <w:rPr>
          <w:rFonts w:ascii="Arial" w:eastAsia="Arial" w:hAnsi="Arial" w:cs="Arial"/>
        </w:rPr>
        <w:t xml:space="preserve">Durante la </w:t>
      </w:r>
      <w:r w:rsidR="00556CC5" w:rsidRPr="00CD52C5">
        <w:rPr>
          <w:rFonts w:ascii="Arial" w:eastAsia="Arial" w:hAnsi="Arial" w:cs="Arial"/>
          <w:lang w:val="es-ES_tradnl"/>
        </w:rPr>
        <w:t>quincuagésima sép</w:t>
      </w:r>
      <w:r w:rsidR="00556CC5">
        <w:rPr>
          <w:rFonts w:ascii="Arial" w:eastAsia="Arial" w:hAnsi="Arial" w:cs="Arial"/>
          <w:lang w:val="es-ES_tradnl"/>
        </w:rPr>
        <w:t>tima sesión extraordinaria del C</w:t>
      </w:r>
      <w:r w:rsidR="00556CC5" w:rsidRPr="00CD52C5">
        <w:rPr>
          <w:rFonts w:ascii="Arial" w:eastAsia="Arial" w:hAnsi="Arial" w:cs="Arial"/>
          <w:lang w:val="es-ES_tradnl"/>
        </w:rPr>
        <w:t xml:space="preserve">abildo </w:t>
      </w:r>
      <w:r w:rsidR="00556CC5">
        <w:rPr>
          <w:rFonts w:ascii="Arial" w:eastAsia="Arial" w:hAnsi="Arial" w:cs="Arial"/>
          <w:lang w:val="es-ES_tradnl"/>
        </w:rPr>
        <w:t>de Toluca se aprobó el punto de a</w:t>
      </w:r>
      <w:r w:rsidR="00556CC5" w:rsidRPr="00CD52C5">
        <w:rPr>
          <w:rFonts w:ascii="Arial" w:eastAsia="Arial" w:hAnsi="Arial" w:cs="Arial"/>
          <w:lang w:val="es-ES_tradnl"/>
        </w:rPr>
        <w:t>cuerdo solicita</w:t>
      </w:r>
      <w:r w:rsidR="00556CC5">
        <w:rPr>
          <w:rFonts w:ascii="Arial" w:eastAsia="Arial" w:hAnsi="Arial" w:cs="Arial"/>
          <w:lang w:val="es-ES_tradnl"/>
        </w:rPr>
        <w:t>do por el alcalde</w:t>
      </w:r>
      <w:r w:rsidR="00556CC5" w:rsidRPr="00CD52C5">
        <w:rPr>
          <w:rFonts w:ascii="Arial" w:eastAsia="Arial" w:hAnsi="Arial" w:cs="Arial"/>
          <w:lang w:val="es-ES_tradnl"/>
        </w:rPr>
        <w:t xml:space="preserve"> Juan Rodolf</w:t>
      </w:r>
      <w:r w:rsidR="00556CC5">
        <w:rPr>
          <w:rFonts w:ascii="Arial" w:eastAsia="Arial" w:hAnsi="Arial" w:cs="Arial"/>
          <w:lang w:val="es-ES_tradnl"/>
        </w:rPr>
        <w:t>o Sánchez Gómez</w:t>
      </w:r>
      <w:r w:rsidR="00556CC5" w:rsidRPr="00CD52C5">
        <w:rPr>
          <w:rFonts w:ascii="Arial" w:eastAsia="Arial" w:hAnsi="Arial" w:cs="Arial"/>
          <w:lang w:val="es-ES_tradnl"/>
        </w:rPr>
        <w:t xml:space="preserve"> </w:t>
      </w:r>
      <w:r w:rsidR="00556CC5">
        <w:rPr>
          <w:rFonts w:ascii="Arial" w:eastAsia="Arial" w:hAnsi="Arial" w:cs="Arial"/>
          <w:lang w:val="es-ES_tradnl"/>
        </w:rPr>
        <w:t>para</w:t>
      </w:r>
      <w:r w:rsidR="00556CC5" w:rsidRPr="00CD52C5">
        <w:rPr>
          <w:rFonts w:ascii="Arial" w:eastAsia="Arial" w:hAnsi="Arial" w:cs="Arial"/>
          <w:lang w:val="es-ES_tradnl"/>
        </w:rPr>
        <w:t xml:space="preserve"> declarar </w:t>
      </w:r>
      <w:r w:rsidR="00556CC5">
        <w:rPr>
          <w:rFonts w:ascii="Arial" w:eastAsia="Arial" w:hAnsi="Arial" w:cs="Arial"/>
          <w:lang w:val="es-ES_tradnl"/>
        </w:rPr>
        <w:t xml:space="preserve">como </w:t>
      </w:r>
      <w:r w:rsidR="00556CC5" w:rsidRPr="00CD52C5">
        <w:rPr>
          <w:rFonts w:ascii="Arial" w:eastAsia="Arial" w:hAnsi="Arial" w:cs="Arial"/>
          <w:lang w:val="es-ES_tradnl"/>
        </w:rPr>
        <w:t>Recinto Oficial las i</w:t>
      </w:r>
      <w:r w:rsidR="00556CC5">
        <w:rPr>
          <w:rFonts w:ascii="Arial" w:eastAsia="Arial" w:hAnsi="Arial" w:cs="Arial"/>
          <w:lang w:val="es-ES_tradnl"/>
        </w:rPr>
        <w:t xml:space="preserve">nstalaciones de Teatro Morelos </w:t>
      </w:r>
      <w:r w:rsidR="00556CC5" w:rsidRPr="00CD52C5">
        <w:rPr>
          <w:rFonts w:ascii="Arial" w:eastAsia="Arial" w:hAnsi="Arial" w:cs="Arial"/>
          <w:lang w:val="es-ES_tradnl"/>
        </w:rPr>
        <w:t>y celebrar Sesión Solemne del Hono</w:t>
      </w:r>
      <w:r w:rsidR="00556CC5">
        <w:rPr>
          <w:rFonts w:ascii="Arial" w:eastAsia="Arial" w:hAnsi="Arial" w:cs="Arial"/>
          <w:lang w:val="es-ES_tradnl"/>
        </w:rPr>
        <w:t xml:space="preserve">rable Cabildo el </w:t>
      </w:r>
      <w:r w:rsidR="00556CC5" w:rsidRPr="00CD52C5">
        <w:rPr>
          <w:rFonts w:ascii="Arial" w:eastAsia="Arial" w:hAnsi="Arial" w:cs="Arial"/>
          <w:lang w:val="es-ES_tradnl"/>
        </w:rPr>
        <w:t xml:space="preserve">9 de diciembre </w:t>
      </w:r>
      <w:r w:rsidR="00556CC5">
        <w:rPr>
          <w:rFonts w:ascii="Arial" w:eastAsia="Arial" w:hAnsi="Arial" w:cs="Arial"/>
          <w:lang w:val="es-ES_tradnl"/>
        </w:rPr>
        <w:t xml:space="preserve">para </w:t>
      </w:r>
      <w:r w:rsidR="00556CC5" w:rsidRPr="00CD52C5">
        <w:rPr>
          <w:rFonts w:ascii="Arial" w:eastAsia="Arial" w:hAnsi="Arial" w:cs="Arial"/>
          <w:lang w:val="es-ES_tradnl"/>
        </w:rPr>
        <w:t xml:space="preserve">la Toma de Protesta del Honorable Cabildo Municipal de Toluca electo para el Periodo Constitucional de Gobierno 2022-2024, en términos de lo señalado por </w:t>
      </w:r>
      <w:r w:rsidR="00556CC5">
        <w:rPr>
          <w:rFonts w:ascii="Arial" w:eastAsia="Arial" w:hAnsi="Arial" w:cs="Arial"/>
          <w:lang w:val="es-ES_tradnl"/>
        </w:rPr>
        <w:t>la Ley.</w:t>
      </w:r>
    </w:p>
    <w:p w14:paraId="4085B992" w14:textId="372E884C" w:rsidR="00AC1AFA" w:rsidRDefault="00AC1AFA" w:rsidP="003E5549">
      <w:pPr>
        <w:jc w:val="both"/>
        <w:rPr>
          <w:rFonts w:ascii="Arial" w:eastAsia="Arial" w:hAnsi="Arial" w:cs="Arial"/>
        </w:rPr>
      </w:pPr>
    </w:p>
    <w:sectPr w:rsidR="00AC1AFA">
      <w:headerReference w:type="default" r:id="rId9"/>
      <w:footerReference w:type="default" r:id="rId10"/>
      <w:pgSz w:w="12240" w:h="15840"/>
      <w:pgMar w:top="63" w:right="1701" w:bottom="1560" w:left="1701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605DC" w14:textId="77777777" w:rsidR="00003317" w:rsidRDefault="00003317">
      <w:r>
        <w:separator/>
      </w:r>
    </w:p>
  </w:endnote>
  <w:endnote w:type="continuationSeparator" w:id="0">
    <w:p w14:paraId="56C42ADD" w14:textId="77777777" w:rsidR="00003317" w:rsidRDefault="0000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2E46C" w14:textId="77777777" w:rsidR="00B57D64" w:rsidRDefault="00B57D6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color w:val="595959"/>
        <w:sz w:val="18"/>
        <w:szCs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CB2C3" w14:textId="77777777" w:rsidR="00003317" w:rsidRDefault="00003317">
      <w:r>
        <w:separator/>
      </w:r>
    </w:p>
  </w:footnote>
  <w:footnote w:type="continuationSeparator" w:id="0">
    <w:p w14:paraId="4478FCFC" w14:textId="77777777" w:rsidR="00003317" w:rsidRDefault="0000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81D24" w14:textId="77777777" w:rsidR="00B57D64" w:rsidRDefault="00B57D6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  <w:r>
      <w:rPr>
        <w:rFonts w:ascii="Arial" w:eastAsia="Arial" w:hAnsi="Arial" w:cs="Arial"/>
        <w:color w:val="7F7F7F"/>
        <w:sz w:val="22"/>
        <w:szCs w:val="22"/>
      </w:rPr>
      <w:t xml:space="preserve">    </w:t>
    </w: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 wp14:anchorId="7D076A33" wp14:editId="20821174">
          <wp:simplePos x="0" y="0"/>
          <wp:positionH relativeFrom="column">
            <wp:posOffset>-379074</wp:posOffset>
          </wp:positionH>
          <wp:positionV relativeFrom="paragraph">
            <wp:posOffset>208915</wp:posOffset>
          </wp:positionV>
          <wp:extent cx="911225" cy="102108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42B052" w14:textId="77777777" w:rsidR="00B57D64" w:rsidRDefault="00B57D6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3072DCC8" w14:textId="77777777" w:rsidR="00B57D64" w:rsidRDefault="00B57D6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E44A69" wp14:editId="29076B9F">
              <wp:simplePos x="0" y="0"/>
              <wp:positionH relativeFrom="column">
                <wp:posOffset>965200</wp:posOffset>
              </wp:positionH>
              <wp:positionV relativeFrom="paragraph">
                <wp:posOffset>0</wp:posOffset>
              </wp:positionV>
              <wp:extent cx="4995067" cy="724395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5067" cy="72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8858F" w14:textId="77777777" w:rsidR="00B57D64" w:rsidRDefault="00B57D64">
                          <w:pPr>
                            <w:jc w:val="right"/>
                            <w:textDirection w:val="btLr"/>
                          </w:pPr>
                        </w:p>
                        <w:p w14:paraId="6DE88DC5" w14:textId="77777777" w:rsidR="00B57D64" w:rsidRDefault="00B57D64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0D93C212" w14:textId="77777777" w:rsidR="00B57D64" w:rsidRDefault="00B57D64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95959"/>
                              <w:sz w:val="22"/>
                            </w:rPr>
                            <w:t>Departamento de Información Periodística, Análisis y Seguimiento de Medios</w:t>
                          </w:r>
                        </w:p>
                        <w:p w14:paraId="7888D79F" w14:textId="77777777" w:rsidR="00B57D64" w:rsidRDefault="00B57D64">
                          <w:pPr>
                            <w:jc w:val="right"/>
                            <w:textDirection w:val="btLr"/>
                          </w:pPr>
                        </w:p>
                        <w:p w14:paraId="34C4D99C" w14:textId="77777777" w:rsidR="00B57D64" w:rsidRDefault="00B57D64">
                          <w:pPr>
                            <w:textDirection w:val="btLr"/>
                          </w:pPr>
                        </w:p>
                        <w:p w14:paraId="7EDD1068" w14:textId="77777777" w:rsidR="00B57D64" w:rsidRDefault="00B57D6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0</wp:posOffset>
              </wp:positionV>
              <wp:extent cx="4995067" cy="7243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95067" cy="724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18CB7D4" w14:textId="77777777" w:rsidR="00B57D64" w:rsidRDefault="00B57D6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4E752252" w14:textId="77777777" w:rsidR="00B57D64" w:rsidRDefault="00B57D6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7EB2899D" w14:textId="77777777" w:rsidR="00B57D64" w:rsidRDefault="00B57D6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22564678" w14:textId="77777777" w:rsidR="00B57D64" w:rsidRDefault="00B57D6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62DA3BF0" w14:textId="77777777" w:rsidR="00B57D64" w:rsidRDefault="00B57D64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18"/>
        <w:szCs w:val="18"/>
      </w:rPr>
    </w:pPr>
    <w:r>
      <w:rPr>
        <w:rFonts w:ascii="Arial" w:eastAsia="Arial" w:hAnsi="Arial" w:cs="Arial"/>
        <w:color w:val="39393B"/>
        <w:highlight w:val="white"/>
      </w:rPr>
      <w:t xml:space="preserve">                                                 </w:t>
    </w:r>
    <w:r>
      <w:rPr>
        <w:rFonts w:ascii="Arial" w:eastAsia="Arial" w:hAnsi="Arial" w:cs="Arial"/>
        <w:color w:val="39393B"/>
        <w:sz w:val="18"/>
        <w:szCs w:val="18"/>
        <w:highlight w:val="white"/>
      </w:rPr>
      <w:t>“</w:t>
    </w:r>
    <w:r>
      <w:rPr>
        <w:rFonts w:ascii="Arial" w:eastAsia="Arial" w:hAnsi="Arial" w:cs="Arial"/>
        <w:i/>
        <w:color w:val="39393B"/>
        <w:sz w:val="18"/>
        <w:szCs w:val="18"/>
        <w:highlight w:val="white"/>
      </w:rPr>
      <w:t xml:space="preserve">2021. Año de la Consumación de la Independencia y la Grandeza de México”   </w:t>
    </w:r>
  </w:p>
  <w:p w14:paraId="693A57ED" w14:textId="77777777" w:rsidR="00B57D64" w:rsidRDefault="00B57D6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i/>
        <w:color w:val="595959"/>
        <w:sz w:val="18"/>
        <w:szCs w:val="18"/>
      </w:rPr>
      <w:t xml:space="preserve">                                  </w:t>
    </w:r>
  </w:p>
  <w:p w14:paraId="7E4C14F5" w14:textId="77777777" w:rsidR="00B57D64" w:rsidRDefault="00B57D6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7F7F7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C6D"/>
    <w:multiLevelType w:val="multilevel"/>
    <w:tmpl w:val="1042E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1AFA"/>
    <w:rsid w:val="00003317"/>
    <w:rsid w:val="000044C6"/>
    <w:rsid w:val="000248D0"/>
    <w:rsid w:val="00065C97"/>
    <w:rsid w:val="000B14C9"/>
    <w:rsid w:val="000C1314"/>
    <w:rsid w:val="000C366E"/>
    <w:rsid w:val="00137E45"/>
    <w:rsid w:val="00142919"/>
    <w:rsid w:val="001D69FD"/>
    <w:rsid w:val="001E19FB"/>
    <w:rsid w:val="001F1137"/>
    <w:rsid w:val="00247016"/>
    <w:rsid w:val="00294953"/>
    <w:rsid w:val="00313526"/>
    <w:rsid w:val="00363310"/>
    <w:rsid w:val="003A3222"/>
    <w:rsid w:val="003A6251"/>
    <w:rsid w:val="003E5549"/>
    <w:rsid w:val="0043095A"/>
    <w:rsid w:val="004B7E91"/>
    <w:rsid w:val="005247F3"/>
    <w:rsid w:val="00556CC5"/>
    <w:rsid w:val="00561BB7"/>
    <w:rsid w:val="005A332F"/>
    <w:rsid w:val="005E49BD"/>
    <w:rsid w:val="00614865"/>
    <w:rsid w:val="00651BE8"/>
    <w:rsid w:val="006E4565"/>
    <w:rsid w:val="006F1FE2"/>
    <w:rsid w:val="00767707"/>
    <w:rsid w:val="007C58F1"/>
    <w:rsid w:val="00890C98"/>
    <w:rsid w:val="008F4919"/>
    <w:rsid w:val="009569A7"/>
    <w:rsid w:val="009736B7"/>
    <w:rsid w:val="00A12B49"/>
    <w:rsid w:val="00AC1AFA"/>
    <w:rsid w:val="00B13327"/>
    <w:rsid w:val="00B3071D"/>
    <w:rsid w:val="00B52DCB"/>
    <w:rsid w:val="00B57D64"/>
    <w:rsid w:val="00BA084C"/>
    <w:rsid w:val="00C24B45"/>
    <w:rsid w:val="00C56353"/>
    <w:rsid w:val="00C846B8"/>
    <w:rsid w:val="00CB2E38"/>
    <w:rsid w:val="00CD52C5"/>
    <w:rsid w:val="00DF471A"/>
    <w:rsid w:val="00E5018D"/>
    <w:rsid w:val="00F73869"/>
    <w:rsid w:val="00F80CC1"/>
    <w:rsid w:val="00FB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2B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65C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1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1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65C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1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1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8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C068-8FFD-4B7A-B6C7-54E90D5C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HP</cp:lastModifiedBy>
  <cp:revision>5</cp:revision>
  <dcterms:created xsi:type="dcterms:W3CDTF">2021-11-23T17:46:00Z</dcterms:created>
  <dcterms:modified xsi:type="dcterms:W3CDTF">2021-11-23T18:48:00Z</dcterms:modified>
</cp:coreProperties>
</file>